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right="480" w:rightChars="200" w:firstLine="0" w:firstLineChars="0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color w:val="auto"/>
          <w:sz w:val="30"/>
          <w:szCs w:val="30"/>
          <w:highlight w:val="none"/>
          <w:lang w:eastAsia="zh-CN"/>
        </w:rPr>
      </w:pPr>
      <w:r>
        <w:rPr>
          <w:rFonts w:hint="eastAsia" w:cs="Times New Roman" w:eastAsiaTheme="minorEastAsia"/>
          <w:b/>
          <w:bCs/>
          <w:color w:val="auto"/>
          <w:sz w:val="30"/>
          <w:szCs w:val="30"/>
          <w:highlight w:val="none"/>
          <w:lang w:eastAsia="zh-CN"/>
        </w:rPr>
        <w:t>南大港产业园区110kV变电站及输配线路项目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right="480" w:rightChars="200" w:firstLine="0" w:firstLineChars="0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color w:val="000000"/>
          <w:sz w:val="30"/>
          <w:szCs w:val="30"/>
        </w:rPr>
      </w:pPr>
      <w:r>
        <w:rPr>
          <w:rFonts w:hint="default" w:ascii="Times New Roman" w:hAnsi="Times New Roman" w:cs="Times New Roman" w:eastAsiaTheme="minorEastAsia"/>
          <w:b/>
          <w:bCs/>
          <w:color w:val="000000"/>
          <w:sz w:val="30"/>
          <w:szCs w:val="30"/>
        </w:rPr>
        <w:t>竣工环境保护验收意见</w:t>
      </w:r>
    </w:p>
    <w:p>
      <w:pPr>
        <w:ind w:firstLine="480"/>
        <w:rPr>
          <w:rFonts w:hint="default" w:ascii="Times New Roman" w:hAnsi="Times New Roman" w:cs="Times New Roman" w:eastAsiaTheme="minorEastAsia"/>
          <w:bCs/>
          <w:highlight w:val="none"/>
        </w:rPr>
      </w:pPr>
      <w:r>
        <w:rPr>
          <w:rFonts w:hint="eastAsia" w:cs="Times New Roman" w:eastAsiaTheme="minorEastAsia"/>
          <w:bCs/>
          <w:highlight w:val="none"/>
          <w:lang w:val="en-US" w:eastAsia="zh-CN"/>
        </w:rPr>
        <w:t>2025</w:t>
      </w:r>
      <w:r>
        <w:rPr>
          <w:rFonts w:hint="default" w:ascii="Times New Roman" w:hAnsi="Times New Roman" w:cs="Times New Roman" w:eastAsiaTheme="minorEastAsia"/>
          <w:bCs/>
          <w:highlight w:val="none"/>
        </w:rPr>
        <w:t>年</w:t>
      </w:r>
      <w:r>
        <w:rPr>
          <w:rFonts w:hint="eastAsia" w:cs="Times New Roman" w:eastAsiaTheme="minorEastAsia"/>
          <w:bCs/>
          <w:highlight w:val="none"/>
          <w:lang w:val="en-US" w:eastAsia="zh-CN"/>
        </w:rPr>
        <w:t>8</w:t>
      </w:r>
      <w:r>
        <w:rPr>
          <w:rFonts w:hint="default" w:ascii="Times New Roman" w:hAnsi="Times New Roman" w:cs="Times New Roman" w:eastAsiaTheme="minorEastAsia"/>
          <w:bCs/>
          <w:highlight w:val="none"/>
        </w:rPr>
        <w:t>月</w:t>
      </w:r>
      <w:r>
        <w:rPr>
          <w:rFonts w:hint="eastAsia" w:cs="Times New Roman" w:eastAsiaTheme="minorEastAsia"/>
          <w:bCs/>
          <w:highlight w:val="none"/>
          <w:lang w:val="en-US" w:eastAsia="zh-CN"/>
        </w:rPr>
        <w:t>29</w:t>
      </w:r>
      <w:r>
        <w:rPr>
          <w:rFonts w:hint="default" w:ascii="Times New Roman" w:hAnsi="Times New Roman" w:cs="Times New Roman" w:eastAsiaTheme="minorEastAsia"/>
          <w:bCs/>
          <w:highlight w:val="none"/>
        </w:rPr>
        <w:t>日，</w:t>
      </w:r>
      <w:r>
        <w:rPr>
          <w:rFonts w:hint="eastAsia" w:cs="Times New Roman" w:eastAsiaTheme="minorEastAsia"/>
          <w:color w:val="auto"/>
          <w:sz w:val="24"/>
          <w:szCs w:val="24"/>
          <w:highlight w:val="none"/>
          <w:lang w:eastAsia="zh-CN"/>
        </w:rPr>
        <w:t>沧州渤海新区南大港产业园区建设交通环保管理中心</w:t>
      </w:r>
      <w:r>
        <w:rPr>
          <w:rFonts w:hint="default" w:ascii="Times New Roman" w:hAnsi="Times New Roman" w:cs="Times New Roman" w:eastAsiaTheme="minorEastAsia"/>
          <w:bCs/>
          <w:highlight w:val="none"/>
        </w:rPr>
        <w:t>召开了</w:t>
      </w:r>
      <w:r>
        <w:rPr>
          <w:rFonts w:hint="eastAsia" w:cs="Times New Roman" w:eastAsiaTheme="minorEastAsia"/>
          <w:color w:val="auto"/>
          <w:sz w:val="24"/>
          <w:szCs w:val="24"/>
          <w:highlight w:val="none"/>
          <w:lang w:eastAsia="zh-CN"/>
        </w:rPr>
        <w:t>南大港产业园区110kV变电站及输配线路项目</w:t>
      </w:r>
      <w:r>
        <w:rPr>
          <w:rFonts w:hint="default" w:ascii="Times New Roman" w:hAnsi="Times New Roman" w:cs="Times New Roman" w:eastAsiaTheme="minorEastAsia"/>
          <w:bCs/>
          <w:highlight w:val="none"/>
        </w:rPr>
        <w:t>竣工环境保护验收会议。参加会议的有专家组成的验收组（名单附后），与会人员踏勘了生产现场，听取了</w:t>
      </w:r>
      <w:r>
        <w:rPr>
          <w:rFonts w:hint="eastAsia" w:cs="Times New Roman" w:eastAsiaTheme="minorEastAsia"/>
          <w:color w:val="auto"/>
          <w:sz w:val="24"/>
          <w:szCs w:val="24"/>
          <w:highlight w:val="none"/>
          <w:lang w:eastAsia="zh-CN"/>
        </w:rPr>
        <w:t>沧州渤海新区南大港产业园区建设交通环保管理中心</w:t>
      </w:r>
      <w:r>
        <w:rPr>
          <w:rFonts w:hint="default" w:ascii="Times New Roman" w:hAnsi="Times New Roman" w:cs="Times New Roman" w:eastAsiaTheme="minorEastAsia"/>
          <w:bCs/>
          <w:highlight w:val="none"/>
        </w:rPr>
        <w:t>对项目建设运行情况的介绍，经认真讨论，形成验收意见如下：</w:t>
      </w:r>
    </w:p>
    <w:p>
      <w:pPr>
        <w:widowControl w:val="0"/>
        <w:ind w:firstLine="482"/>
        <w:rPr>
          <w:rFonts w:hint="default" w:ascii="Times New Roman" w:hAnsi="Times New Roman" w:cs="Times New Roman" w:eastAsiaTheme="minorEastAsia"/>
          <w:b/>
          <w:bCs/>
          <w:color w:val="000000"/>
        </w:rPr>
      </w:pPr>
      <w:r>
        <w:rPr>
          <w:rFonts w:hint="default" w:ascii="Times New Roman" w:hAnsi="Times New Roman" w:cs="Times New Roman" w:eastAsiaTheme="minorEastAsia"/>
          <w:b/>
          <w:bCs/>
          <w:color w:val="000000"/>
        </w:rPr>
        <w:t>一、项目建设地点、建设内容、规模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项目位于河北省沧州市南大港产业园区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内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。项目建设110kV变电站一座，主变两台容量2*50MVA。110kV线路两条，分别来自南大港220kV变电站和T接110kV徐邢线，线路长度总计约47km。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 w:val="0"/>
        <w:autoSpaceDN/>
        <w:bidi w:val="0"/>
        <w:adjustRightInd/>
        <w:snapToGrid/>
        <w:spacing w:after="0" w:line="360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highlight w:val="none"/>
          <w:lang w:val="en-US" w:eastAsia="zh-CN"/>
        </w:rPr>
        <w:t>110千伏变电站</w:t>
      </w:r>
      <w:r>
        <w:rPr>
          <w:rFonts w:hint="eastAsia" w:ascii="Times New Roman" w:hAnsi="Times New Roman" w:cs="Times New Roman"/>
          <w:spacing w:val="0"/>
          <w:position w:val="0"/>
          <w:sz w:val="24"/>
          <w:szCs w:val="24"/>
          <w:highlight w:val="none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highlight w:val="none"/>
          <w:lang w:val="en-US" w:eastAsia="zh-CN"/>
        </w:rPr>
        <w:t>徐邢T接-凯意新建站新建110kV线路工程：起点为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</w:rPr>
        <w:t>徐邢线7号杆大号侧T接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  <w:lang w:val="en-US" w:eastAsia="zh-CN"/>
        </w:rPr>
        <w:t>终点为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</w:rPr>
        <w:t>新建凯意110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  <w:lang w:eastAsia="zh-CN"/>
        </w:rPr>
        <w:t>kV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</w:rPr>
        <w:t>变电站</w:t>
      </w:r>
      <w:r>
        <w:rPr>
          <w:rFonts w:hint="eastAsia" w:ascii="Times New Roman" w:hAnsi="Times New Roman" w:cs="Times New Roman"/>
          <w:spacing w:val="0"/>
          <w:position w:val="0"/>
          <w:sz w:val="24"/>
          <w:highlight w:val="none"/>
          <w:lang w:eastAsia="zh-CN"/>
        </w:rPr>
        <w:t>；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highlight w:val="none"/>
          <w:lang w:val="en-US" w:eastAsia="zh-CN"/>
        </w:rPr>
        <w:t>南大港-凯意新建站新建110kV线路工程：起点为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</w:rPr>
        <w:t>南大港220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  <w:lang w:eastAsia="zh-CN"/>
        </w:rPr>
        <w:t>kV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</w:rPr>
        <w:t>变电站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  <w:lang w:val="en-US" w:eastAsia="zh-CN"/>
        </w:rPr>
        <w:t>终点为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</w:rPr>
        <w:t>新建凯意110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  <w:lang w:eastAsia="zh-CN"/>
        </w:rPr>
        <w:t>kV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highlight w:val="none"/>
        </w:rPr>
        <w:t>变电站。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2台容量2*50MVA主变，电压比为110kV/10kV，110kV规划出线3回，本期出线2回；10kV规划出线16回，本期出线10回。建设一座36m³（有效容积为30m³）事故油池。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南大港-凯意110kV线路</w:t>
      </w:r>
      <w:r>
        <w:rPr>
          <w:rFonts w:hint="eastAsia" w:cs="Times New Roman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起自南大港220kV变电站162新建间隔架空出线向东沿新建南李线1号、2号，转角向北，转角向北405米，转角向东389米，电缆排管敷设137米钻越建设中津潍高速，转角向北1190米，转角向东557米，电缆排管敷设194米钻越110kV南桥线、110kV南周线、220kV岐南线，转角向北411米，转角向东2328米，架空837米跨越规划中曲港高速，转角向南2164米，转角向东2162米，转角向北1130米，转角向东1500米，电缆排管敷设301米钻越110kV汇李线、35kV李新线、35kV中工新村线，向东架空3297米，转角向北780米，转角向东2848米至电缆终端塔，引下电缆至新建电缆井，转角向南拉管敷设至园区内部道路新建电缆井，后沿园区内部道路排管敷设1120米至新建110kV凯意站GIS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 w:ascii="Times New Roman" w:hAnsi="Times New Roman" w:cs="Times New Roman" w:eastAsiaTheme="minorEastAsia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徐邢T接-凯意110kV线路</w:t>
      </w:r>
      <w:r>
        <w:rPr>
          <w:rFonts w:hint="eastAsia" w:cs="Times New Roman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起自徐邢线7号杆大号侧145米新建耐张塔后架空T接向北133米，转角向北架空307米，转角向北5181米，转角向西210米，转角向北5457米，转角向东1653米，转角向北4717米，向北转角架空1007米，转角向东2699米至电缆终端塔，引下电缆至新建电缆井，转角向南拉管敷设至园区内部道路新建电缆井，后沿园区内部道路排管敷设1050至新建110kV凯意站GIS室。</w:t>
      </w:r>
    </w:p>
    <w:p>
      <w:pPr>
        <w:widowControl w:val="0"/>
        <w:ind w:firstLine="482"/>
        <w:rPr>
          <w:rFonts w:hint="default" w:ascii="Times New Roman" w:hAnsi="Times New Roman" w:cs="Times New Roman" w:eastAsiaTheme="minorEastAsia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/>
          <w:bCs/>
          <w:color w:val="000000"/>
          <w:sz w:val="24"/>
          <w:szCs w:val="24"/>
        </w:rPr>
        <w:t>二、环保审批情况</w:t>
      </w:r>
    </w:p>
    <w:p>
      <w:pPr>
        <w:pStyle w:val="29"/>
        <w:adjustRightInd w:val="0"/>
        <w:snapToGrid w:val="0"/>
        <w:spacing w:after="0" w:line="360" w:lineRule="auto"/>
        <w:jc w:val="left"/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20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24年7月15日，</w:t>
      </w:r>
      <w:r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沧州市行政审批局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出具了《南大港产业园区110kV变电站及输配线路项目环境影响报告表》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的批复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沧审批辐表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（</w:t>
      </w:r>
      <w:r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2024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）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20</w:t>
      </w:r>
      <w:r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号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）</w:t>
      </w:r>
      <w:r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。</w:t>
      </w:r>
    </w:p>
    <w:p>
      <w:pPr>
        <w:pStyle w:val="29"/>
        <w:adjustRightInd w:val="0"/>
        <w:snapToGrid w:val="0"/>
        <w:spacing w:after="0" w:line="360" w:lineRule="auto"/>
        <w:jc w:val="left"/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本项目总投资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16700</w:t>
      </w:r>
      <w:r>
        <w:rPr>
          <w:rFonts w:hint="default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万元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eastAsia="zh-CN"/>
        </w:rPr>
        <w:t>，其中环保投资</w:t>
      </w:r>
      <w:r>
        <w:rPr>
          <w:rFonts w:hint="eastAsia" w:ascii="Times New Roman" w:hAnsi="Times New Roman" w:cs="Times New Roman" w:eastAsiaTheme="minorEastAsia"/>
          <w:bCs/>
          <w:kern w:val="2"/>
          <w:sz w:val="24"/>
          <w:szCs w:val="24"/>
          <w:lang w:val="en-US" w:eastAsia="zh-CN"/>
        </w:rPr>
        <w:t>145万元，占项目总投资0.87%。</w:t>
      </w:r>
    </w:p>
    <w:p>
      <w:pPr>
        <w:widowControl w:val="0"/>
        <w:ind w:firstLine="482"/>
        <w:rPr>
          <w:rFonts w:hint="default" w:ascii="Times New Roman" w:hAnsi="Times New Roman" w:cs="Times New Roman" w:eastAsiaTheme="minorEastAsia"/>
          <w:b/>
          <w:bCs/>
          <w:color w:val="000000"/>
        </w:rPr>
      </w:pPr>
      <w:r>
        <w:rPr>
          <w:rFonts w:hint="default" w:ascii="Times New Roman" w:hAnsi="Times New Roman" w:cs="Times New Roman" w:eastAsiaTheme="minorEastAsia"/>
          <w:b/>
          <w:bCs/>
          <w:color w:val="000000"/>
        </w:rPr>
        <w:t>三、验收范围</w:t>
      </w:r>
    </w:p>
    <w:p>
      <w:pPr>
        <w:pStyle w:val="29"/>
        <w:adjustRightInd w:val="0"/>
        <w:snapToGrid w:val="0"/>
        <w:spacing w:after="0" w:line="360" w:lineRule="auto"/>
        <w:jc w:val="both"/>
        <w:rPr>
          <w:rFonts w:hint="default" w:ascii="Times New Roman" w:hAnsi="Times New Roman" w:cs="Times New Roman" w:eastAsiaTheme="minorEastAsia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Cs w:val="24"/>
        </w:rPr>
        <w:t>工频电场、工频磁场</w:t>
      </w:r>
      <w:r>
        <w:rPr>
          <w:rFonts w:hint="eastAsia" w:ascii="Times New Roman" w:hAnsi="Times New Roman" w:cs="Times New Roman" w:eastAsiaTheme="minorEastAsia"/>
          <w:szCs w:val="24"/>
          <w:lang w:eastAsia="zh-CN"/>
        </w:rPr>
        <w:t>：</w:t>
      </w:r>
      <w:r>
        <w:rPr>
          <w:rFonts w:hint="eastAsia" w:ascii="Times New Roman" w:hAnsi="Times New Roman" w:cs="Times New Roman" w:eastAsiaTheme="minorEastAsia"/>
          <w:szCs w:val="24"/>
          <w:lang w:val="en-US" w:eastAsia="zh-CN"/>
        </w:rPr>
        <w:t>110kV</w:t>
      </w:r>
      <w:r>
        <w:rPr>
          <w:rFonts w:hint="default" w:ascii="Times New Roman" w:hAnsi="Times New Roman" w:cs="Times New Roman" w:eastAsiaTheme="minorEastAsia"/>
          <w:szCs w:val="24"/>
        </w:rPr>
        <w:t>架空线路为边导线地面投影外两侧各30m范围内</w:t>
      </w:r>
      <w:r>
        <w:rPr>
          <w:rFonts w:hint="eastAsia" w:ascii="Times New Roman" w:hAnsi="Times New Roman" w:cs="Times New Roman" w:eastAsiaTheme="minorEastAsia"/>
          <w:szCs w:val="24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szCs w:val="24"/>
          <w:lang w:val="en-US" w:eastAsia="zh-CN"/>
        </w:rPr>
        <w:t>110kV电缆线路为</w:t>
      </w:r>
      <w:r>
        <w:rPr>
          <w:rFonts w:hint="default" w:ascii="Times New Roman" w:hAnsi="Times New Roman" w:cs="Times New Roman" w:eastAsiaTheme="minorEastAsia"/>
          <w:szCs w:val="24"/>
          <w:lang w:val="en-US" w:eastAsia="zh-CN"/>
        </w:rPr>
        <w:t>地下电缆管廊两侧边缘各外延5m（水平距离）</w:t>
      </w:r>
      <w:r>
        <w:rPr>
          <w:rFonts w:hint="eastAsia" w:ascii="Times New Roman" w:hAnsi="Times New Roman" w:cs="Times New Roman" w:eastAsiaTheme="minorEastAsia"/>
          <w:szCs w:val="24"/>
          <w:lang w:val="en-US" w:eastAsia="zh-CN"/>
        </w:rPr>
        <w:t>；变电站：围墙外30m。</w:t>
      </w:r>
    </w:p>
    <w:p>
      <w:pPr>
        <w:pStyle w:val="29"/>
        <w:adjustRightInd w:val="0"/>
        <w:snapToGrid w:val="0"/>
        <w:spacing w:after="0" w:line="360" w:lineRule="auto"/>
        <w:jc w:val="both"/>
        <w:rPr>
          <w:rFonts w:hint="default" w:ascii="Times New Roman" w:hAnsi="Times New Roman" w:cs="Times New Roman" w:eastAsiaTheme="minorEastAsia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Cs w:val="24"/>
          <w:lang w:val="en-US" w:eastAsia="zh-CN"/>
        </w:rPr>
        <w:t>声环境：110kV</w:t>
      </w:r>
      <w:r>
        <w:rPr>
          <w:rFonts w:hint="default" w:ascii="Times New Roman" w:hAnsi="Times New Roman" w:cs="Times New Roman" w:eastAsiaTheme="minorEastAsia"/>
          <w:szCs w:val="24"/>
        </w:rPr>
        <w:t>架空线路噪声为边导线地面投影外两侧各30m范围内</w:t>
      </w:r>
      <w:r>
        <w:rPr>
          <w:rFonts w:hint="eastAsia" w:ascii="Times New Roman" w:hAnsi="Times New Roman" w:cs="Times New Roman" w:eastAsiaTheme="minorEastAsia"/>
          <w:szCs w:val="24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szCs w:val="24"/>
          <w:lang w:val="en-US" w:eastAsia="zh-CN"/>
        </w:rPr>
        <w:t>变电站：围墙外50m。</w:t>
      </w:r>
    </w:p>
    <w:p>
      <w:pPr>
        <w:pStyle w:val="29"/>
        <w:adjustRightInd w:val="0"/>
        <w:snapToGrid w:val="0"/>
        <w:spacing w:after="0" w:line="360" w:lineRule="auto"/>
        <w:jc w:val="both"/>
        <w:rPr>
          <w:rFonts w:hint="default" w:ascii="Times New Roman" w:hAnsi="Times New Roman" w:cs="Times New Roman" w:eastAsiaTheme="minorEastAsia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Cs w:val="24"/>
          <w:lang w:val="en-US" w:eastAsia="zh-CN"/>
        </w:rPr>
        <w:t>生态环境</w:t>
      </w:r>
      <w:r>
        <w:rPr>
          <w:rFonts w:hint="eastAsia" w:ascii="Times New Roman" w:hAnsi="Times New Roman" w:cs="Times New Roman" w:eastAsiaTheme="minorEastAsia"/>
          <w:szCs w:val="24"/>
          <w:lang w:val="en-US" w:eastAsia="zh-CN"/>
        </w:rPr>
        <w:t>：</w:t>
      </w:r>
      <w:r>
        <w:rPr>
          <w:rFonts w:hint="default" w:ascii="Times New Roman" w:hAnsi="Times New Roman" w:cs="Times New Roman" w:eastAsiaTheme="minorEastAsia"/>
          <w:szCs w:val="24"/>
        </w:rPr>
        <w:t>不涉及生态敏感区的输电线路段为线路边导线地面投影外两侧各300m内的带状区域</w:t>
      </w:r>
      <w:r>
        <w:rPr>
          <w:rFonts w:hint="eastAsia" w:ascii="Times New Roman" w:hAnsi="Times New Roman" w:cs="Times New Roman" w:eastAsiaTheme="minorEastAsia"/>
          <w:szCs w:val="24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szCs w:val="24"/>
          <w:lang w:val="en-US" w:eastAsia="zh-CN"/>
        </w:rPr>
        <w:t>电站为站址围墙外500m域范围。</w:t>
      </w:r>
    </w:p>
    <w:p>
      <w:pPr>
        <w:widowControl w:val="0"/>
        <w:numPr>
          <w:ilvl w:val="0"/>
          <w:numId w:val="1"/>
        </w:numPr>
        <w:ind w:firstLine="482"/>
        <w:rPr>
          <w:rFonts w:hint="default" w:ascii="Times New Roman" w:hAnsi="Times New Roman" w:cs="Times New Roman" w:eastAsiaTheme="minorEastAsia"/>
          <w:b/>
          <w:bCs/>
          <w:color w:val="000000"/>
        </w:rPr>
      </w:pPr>
      <w:r>
        <w:rPr>
          <w:rFonts w:hint="default" w:ascii="Times New Roman" w:hAnsi="Times New Roman" w:cs="Times New Roman" w:eastAsiaTheme="minorEastAsia"/>
          <w:b/>
          <w:bCs/>
          <w:color w:val="000000"/>
        </w:rPr>
        <w:t>项目变动情况</w:t>
      </w:r>
    </w:p>
    <w:p>
      <w:pPr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eastAsia="zh-CN"/>
        </w:rPr>
        <w:t>项目建设内容基本与环评</w:t>
      </w:r>
      <w:r>
        <w:rPr>
          <w:rFonts w:hint="eastAsia" w:ascii="Times New Roman" w:hAnsi="Times New Roman" w:cs="Times New Roman"/>
          <w:lang w:eastAsia="zh-CN"/>
        </w:rPr>
        <w:t>报告</w:t>
      </w:r>
      <w:r>
        <w:rPr>
          <w:rFonts w:hint="eastAsia" w:cs="Times New Roman"/>
          <w:lang w:val="en-US" w:eastAsia="zh-CN"/>
        </w:rPr>
        <w:t>表</w:t>
      </w:r>
      <w:r>
        <w:rPr>
          <w:rFonts w:hint="default" w:ascii="Times New Roman" w:hAnsi="Times New Roman" w:cs="Times New Roman"/>
          <w:lang w:eastAsia="zh-CN"/>
        </w:rPr>
        <w:t>及批复文件中基本一致。</w:t>
      </w:r>
    </w:p>
    <w:p>
      <w:pPr>
        <w:widowControl w:val="0"/>
        <w:ind w:firstLine="482" w:firstLineChars="200"/>
        <w:rPr>
          <w:rFonts w:hint="default" w:ascii="Times New Roman" w:hAnsi="Times New Roman" w:cs="Times New Roman" w:eastAsiaTheme="minorEastAsia"/>
          <w:b/>
          <w:bCs/>
          <w:color w:val="000000"/>
        </w:rPr>
      </w:pPr>
      <w:r>
        <w:rPr>
          <w:rFonts w:hint="default" w:ascii="Times New Roman" w:hAnsi="Times New Roman" w:cs="Times New Roman" w:eastAsiaTheme="minorEastAsia"/>
          <w:b/>
          <w:bCs/>
          <w:color w:val="000000"/>
        </w:rPr>
        <w:t>五、环境保护</w:t>
      </w:r>
      <w:r>
        <w:rPr>
          <w:rFonts w:hint="eastAsia" w:cs="Times New Roman" w:eastAsiaTheme="minorEastAsia"/>
          <w:b/>
          <w:bCs/>
          <w:color w:val="000000"/>
          <w:lang w:val="en-US" w:eastAsia="zh-CN"/>
        </w:rPr>
        <w:t>措施落实</w:t>
      </w:r>
      <w:r>
        <w:rPr>
          <w:rFonts w:hint="default" w:ascii="Times New Roman" w:hAnsi="Times New Roman" w:cs="Times New Roman" w:eastAsiaTheme="minorEastAsia"/>
          <w:b/>
          <w:bCs/>
          <w:color w:val="000000"/>
        </w:rPr>
        <w:t>情况</w:t>
      </w:r>
    </w:p>
    <w:p>
      <w:p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环保设施及措施已按环评要求建成和落实，建设的环保设施及采取的环保措施主要有</w:t>
      </w:r>
      <w:r>
        <w:rPr>
          <w:rFonts w:hint="eastAsia" w:ascii="Times New Roman" w:hAnsi="Times New Roman" w:eastAsia="宋体" w:cs="Times New Roman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宋体" w:cs="Times New Roman"/>
          <w:sz w:val="24"/>
          <w:szCs w:val="24"/>
        </w:rPr>
        <w:t>声环境影响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工程施工期采用低噪声施工设备，合理按排施工作业时间。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宋体" w:cs="Times New Roman"/>
          <w:sz w:val="24"/>
          <w:szCs w:val="24"/>
        </w:rPr>
        <w:t>水环境影响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施工废水主要是设备冲洗所产生的废水，施工废水很少，经简单沉淀处理后循环利用，不外排。线路施工人员生活污水依托周边公用设施进行处置，变电站施工人员生活污水依托变电站内化粪池，定期清掏，不外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宋体" w:cs="Times New Roman"/>
          <w:sz w:val="24"/>
          <w:szCs w:val="24"/>
        </w:rPr>
        <w:t>固体废物影响</w:t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本工程施工期土方已按相关要求落实取弃土实施要求，无乱丢乱起，按要求统一处理。产生的废旧蓄电池及变压器事故时产生废变压器油，根据《国家危险废物名录》（2021年版）和《危险废物鉴别标准》（GB5085.1~7-2007），废旧蓄电池及废变压器油均属于危险废物，其中废旧蓄电池属于HW31废铅蓄电池及废铅蓄电池拆解过程中产生的废铅板、废铅膏和酸液（900-052-31），废变压器油属于HW08变压器维护、更换和拆解过程中产生的废变压器油（900-220-08），应按《危险废物贮存污染控制标准》（GB18597-2023）和《危险废物收集、贮存、运输技术规范》（HJ2025-2012）要求进行收集、贮存及运输，根据相关法律法规要求交有危废处置资质单位处置。</w:t>
      </w:r>
    </w:p>
    <w:p>
      <w:p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（4）</w:t>
      </w:r>
      <w:r>
        <w:rPr>
          <w:rFonts w:hint="default" w:ascii="Times New Roman" w:hAnsi="Times New Roman" w:eastAsia="宋体" w:cs="Times New Roman"/>
          <w:lang w:val="en-US" w:eastAsia="zh-CN"/>
        </w:rPr>
        <w:t>电磁环境保护措施</w:t>
      </w:r>
    </w:p>
    <w:p>
      <w:p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主要采取的环境保护措施：运行期做好环境保护设施的维护和运行管理，加强巡查和检查，保障发挥环境保护作用。定期开展环境监测，确保电磁符合《电磁环境控制限值》（GB8702-2014）的限值要求，并及时解决公众合理的环境保护诉求。</w:t>
      </w:r>
    </w:p>
    <w:p>
      <w:pPr>
        <w:widowControl w:val="0"/>
        <w:ind w:firstLine="482" w:firstLineChars="200"/>
        <w:rPr>
          <w:rFonts w:hint="eastAsia" w:ascii="Times New Roman" w:hAnsi="Times New Roman" w:cs="Times New Roman" w:eastAsiaTheme="minorEastAsia"/>
          <w:b/>
          <w:bCs/>
          <w:color w:val="000000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color w:val="000000"/>
          <w:lang w:val="en-US" w:eastAsia="zh-CN"/>
        </w:rPr>
        <w:t>六、验收监测结果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根据河北冀辐源环保科技有限公司检验检测报告（冀辐源环检(</w:t>
      </w:r>
      <w:r>
        <w:rPr>
          <w:rFonts w:hint="eastAsia" w:cs="Times New Roman"/>
          <w:spacing w:val="0"/>
          <w:position w:val="0"/>
          <w:sz w:val="24"/>
          <w:szCs w:val="24"/>
          <w:lang w:val="en-US" w:eastAsia="zh-CN"/>
        </w:rPr>
        <w:t>2025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)第</w:t>
      </w:r>
      <w:r>
        <w:rPr>
          <w:rFonts w:hint="eastAsia" w:cs="Times New Roman"/>
          <w:spacing w:val="0"/>
          <w:position w:val="0"/>
          <w:sz w:val="24"/>
          <w:szCs w:val="24"/>
          <w:lang w:val="en-US" w:eastAsia="zh-CN"/>
        </w:rPr>
        <w:t>136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号），验收监测结果如下：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架空线路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和电缆上方工频电场强度为0.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83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~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611.36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V/m，工频磁感应强度为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0.0134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-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0.5316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μT</w:t>
      </w:r>
      <w:r>
        <w:rPr>
          <w:rFonts w:hint="eastAsia" w:cs="Times New Roman"/>
          <w:spacing w:val="0"/>
          <w:position w:val="0"/>
          <w:sz w:val="24"/>
          <w:szCs w:val="24"/>
          <w:lang w:val="en-US" w:eastAsia="zh-CN"/>
        </w:rPr>
        <w:t>；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厂界电场强度为0.83~3.41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V/m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，磁感应强度为0.0134~0.0.0585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μT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符合《电磁环境控制限值》（GB8702-2014）中4kV/m（架空输电线路线下的耕地、道路等场所，限值为10kV/m）和100μT的控制限值。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/>
        </w:rPr>
      </w:pPr>
      <w:bookmarkStart w:id="0" w:name="OLE_LINK7"/>
      <w:bookmarkStart w:id="1" w:name="OLE_LINK9"/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架空线路下方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昼间噪声为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47</w:t>
      </w:r>
      <w:bookmarkStart w:id="2" w:name="OLE_LINK1"/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~</w:t>
      </w:r>
      <w:bookmarkEnd w:id="2"/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56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dB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，夜间噪声为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39~46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dB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）</w:t>
      </w:r>
      <w:r>
        <w:rPr>
          <w:rFonts w:hint="eastAsia" w:cs="Times New Roman"/>
          <w:spacing w:val="0"/>
          <w:position w:val="0"/>
          <w:sz w:val="24"/>
          <w:szCs w:val="24"/>
          <w:lang w:val="en-US" w:eastAsia="zh-CN"/>
        </w:rPr>
        <w:t>；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变电站昼间噪声为54~56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dB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，夜间噪声为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45~46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dB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）</w:t>
      </w:r>
      <w:r>
        <w:rPr>
          <w:rFonts w:hint="eastAsia" w:cs="Times New Roman"/>
          <w:spacing w:val="0"/>
          <w:position w:val="0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符合《声环境质量标准》</w:t>
      </w:r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（GB3096-2008）</w:t>
      </w:r>
      <w:bookmarkEnd w:id="0"/>
      <w:r>
        <w:rPr>
          <w:rFonts w:hint="eastAsia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类标准要求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。</w:t>
      </w:r>
    </w:p>
    <w:bookmarkEnd w:id="1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baseline"/>
        <w:rPr>
          <w:rFonts w:hint="default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position w:val="0"/>
          <w:sz w:val="24"/>
          <w:szCs w:val="24"/>
          <w:lang w:val="en-US" w:eastAsia="zh-CN"/>
        </w:rPr>
        <w:t>根据调查，线路塔基区和施工临时占地恢复效果较好，未对沿线自然生态环境造成明显不利影响。</w:t>
      </w:r>
    </w:p>
    <w:p>
      <w:pPr>
        <w:rPr>
          <w:rFonts w:hint="default" w:ascii="Times New Roman" w:hAnsi="Times New Roman" w:cs="Times New Roman" w:eastAsiaTheme="minorEastAsia"/>
          <w:b/>
          <w:bCs/>
          <w:color w:val="000000"/>
        </w:rPr>
      </w:pPr>
      <w:r>
        <w:rPr>
          <w:rFonts w:hint="eastAsia" w:cs="Times New Roman" w:eastAsiaTheme="minorEastAsia"/>
          <w:b/>
          <w:bCs/>
          <w:color w:val="000000"/>
          <w:lang w:val="en-US" w:eastAsia="zh-CN"/>
        </w:rPr>
        <w:t>七</w:t>
      </w:r>
      <w:r>
        <w:rPr>
          <w:rFonts w:hint="default" w:ascii="Times New Roman" w:hAnsi="Times New Roman" w:cs="Times New Roman" w:eastAsiaTheme="minorEastAsia"/>
          <w:b/>
          <w:bCs/>
          <w:color w:val="000000"/>
        </w:rPr>
        <w:t>、验收结论</w:t>
      </w:r>
    </w:p>
    <w:p>
      <w:pPr>
        <w:ind w:firstLine="480" w:firstLineChars="200"/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综上所述，</w:t>
      </w:r>
      <w:r>
        <w:rPr>
          <w:rFonts w:hint="eastAsia" w:cs="Times New Roman" w:eastAsiaTheme="minorEastAsia"/>
          <w:color w:val="auto"/>
          <w:sz w:val="24"/>
          <w:szCs w:val="24"/>
          <w:highlight w:val="none"/>
          <w:lang w:eastAsia="zh-CN"/>
        </w:rPr>
        <w:t>南大港产业园区110kV变电站及输配线路项目</w:t>
      </w:r>
      <w:r>
        <w:rPr>
          <w:rFonts w:hint="eastAsia" w:cs="Times New Roman"/>
          <w:lang w:val="en-US" w:eastAsia="zh-CN"/>
        </w:rPr>
        <w:t>环保审查、审批手续完备，环保设施及措施已建成和落实。工频电场强度、工频磁感应强度、噪声等指标均满足国家相关标准限值要求，符合建设项目竣工环境保护验收条件，同意通过竣工环境保护验收。</w:t>
      </w:r>
    </w:p>
    <w:p>
      <w:pPr>
        <w:rPr>
          <w:rFonts w:hint="eastAsia" w:ascii="Times New Roman" w:hAnsi="Times New Roman" w:cs="Times New Roman" w:eastAsiaTheme="minorEastAsia"/>
          <w:b/>
          <w:bCs/>
          <w:color w:val="00000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b/>
          <w:bCs/>
          <w:color w:val="00000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b/>
          <w:bCs/>
          <w:color w:val="00000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b/>
          <w:bCs/>
          <w:color w:val="000000"/>
          <w:lang w:val="en-US" w:eastAsia="zh-CN"/>
        </w:rPr>
      </w:pPr>
      <w:bookmarkStart w:id="3" w:name="_GoBack"/>
      <w:bookmarkEnd w:id="3"/>
      <w:r>
        <w:rPr>
          <w:rFonts w:hint="eastAsia" w:ascii="Times New Roman" w:hAnsi="Times New Roman" w:cs="Times New Roman" w:eastAsiaTheme="minorEastAsia"/>
          <w:b/>
          <w:bCs/>
          <w:color w:val="000000"/>
          <w:lang w:val="en-US" w:eastAsia="zh-CN"/>
        </w:rPr>
        <w:t>八、要求</w:t>
      </w:r>
    </w:p>
    <w:p>
      <w:pPr>
        <w:ind w:firstLine="480" w:firstLineChars="200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1、加强环保设施的管理维护。</w:t>
      </w:r>
    </w:p>
    <w:p>
      <w:pPr>
        <w:ind w:firstLine="480" w:firstLineChars="200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2、继续做好工程周围居民电磁环境影响相关知识的宣传。</w:t>
      </w:r>
    </w:p>
    <w:p>
      <w:pPr>
        <w:ind w:firstLine="480" w:firstLineChars="200"/>
        <w:rPr>
          <w:rFonts w:hint="eastAsia" w:cs="Times New Roman"/>
          <w:lang w:val="en-US" w:eastAsia="zh-CN"/>
        </w:rPr>
      </w:pPr>
    </w:p>
    <w:p>
      <w:pPr>
        <w:ind w:firstLine="480" w:firstLineChars="200"/>
        <w:rPr>
          <w:rFonts w:hint="eastAsia" w:cs="Times New Roman"/>
          <w:lang w:val="en-US" w:eastAsia="zh-CN"/>
        </w:rPr>
      </w:pPr>
    </w:p>
    <w:p>
      <w:pPr>
        <w:pStyle w:val="2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55"/>
        <w:widowControl w:val="0"/>
        <w:numPr>
          <w:ilvl w:val="0"/>
          <w:numId w:val="0"/>
        </w:numPr>
        <w:adjustRightInd w:val="0"/>
        <w:snapToGrid w:val="0"/>
        <w:spacing w:beforeAutospacing="0" w:afterAutospacing="0"/>
        <w:jc w:val="lef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</w:p>
    <w:p>
      <w:pPr>
        <w:pStyle w:val="55"/>
        <w:widowControl w:val="0"/>
        <w:adjustRightInd w:val="0"/>
        <w:snapToGrid w:val="0"/>
        <w:spacing w:beforeAutospacing="0" w:afterAutospacing="0"/>
        <w:ind w:firstLine="480"/>
        <w:jc w:val="right"/>
        <w:rPr>
          <w:rFonts w:hint="default" w:ascii="Times New Roman" w:hAnsi="Times New Roman" w:cs="Times New Roman" w:eastAsiaTheme="minorEastAsia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406" w:bottom="1440" w:left="1519" w:header="851" w:footer="1587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</w:rPr>
        <w:t>二〇二</w:t>
      </w:r>
      <w:r>
        <w:rPr>
          <w:rFonts w:hint="eastAsia" w:ascii="Times New Roman" w:hAnsi="Times New Roman" w:cs="Times New Roman" w:eastAsiaTheme="minorEastAsia"/>
          <w:lang w:val="en-US" w:eastAsia="zh-CN"/>
        </w:rPr>
        <w:t>五</w:t>
      </w:r>
      <w:r>
        <w:rPr>
          <w:rFonts w:hint="default" w:ascii="Times New Roman" w:hAnsi="Times New Roman" w:cs="Times New Roman" w:eastAsiaTheme="minorEastAsia"/>
        </w:rPr>
        <w:t>年</w:t>
      </w:r>
      <w:r>
        <w:rPr>
          <w:rFonts w:hint="eastAsia" w:ascii="Times New Roman" w:hAnsi="Times New Roman" w:cs="Times New Roman" w:eastAsiaTheme="minorEastAsia"/>
          <w:lang w:val="en-US" w:eastAsia="zh-CN"/>
        </w:rPr>
        <w:t>八</w:t>
      </w:r>
      <w:r>
        <w:rPr>
          <w:rFonts w:hint="default" w:ascii="Times New Roman" w:hAnsi="Times New Roman" w:cs="Times New Roman" w:eastAsiaTheme="minorEastAsia"/>
        </w:rPr>
        <w:t>月</w:t>
      </w:r>
      <w:r>
        <w:rPr>
          <w:rFonts w:hint="eastAsia" w:ascii="Times New Roman" w:hAnsi="Times New Roman" w:cs="Times New Roman" w:eastAsiaTheme="minorEastAsia"/>
          <w:lang w:val="en-US" w:eastAsia="zh-CN"/>
        </w:rPr>
        <w:t>二十九</w:t>
      </w:r>
      <w:r>
        <w:rPr>
          <w:rFonts w:hint="default" w:ascii="Times New Roman" w:hAnsi="Times New Roman" w:cs="Times New Roman" w:eastAsiaTheme="minorEastAsia"/>
        </w:rPr>
        <w:t>日</w:t>
      </w:r>
    </w:p>
    <w:p>
      <w:pPr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cs="Times New Roman"/>
          <w:b/>
          <w:bCs/>
          <w:color w:val="000000"/>
          <w:sz w:val="32"/>
          <w:szCs w:val="32"/>
          <w:lang w:val="en-US" w:eastAsia="zh-CN" w:bidi="ar-SA"/>
        </w:rPr>
        <w:t>南大港产业园区110kV变电站及输配线路项目</w:t>
      </w:r>
    </w:p>
    <w:p>
      <w:pPr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color w:val="000000"/>
          <w:sz w:val="32"/>
          <w:szCs w:val="32"/>
        </w:rPr>
        <w:t>竣工环境保护验收组人员一览表</w:t>
      </w:r>
    </w:p>
    <w:p>
      <w:pPr>
        <w:pStyle w:val="55"/>
        <w:widowControl w:val="0"/>
        <w:adjustRightInd w:val="0"/>
        <w:snapToGrid w:val="0"/>
        <w:spacing w:beforeAutospacing="0" w:afterAutospacing="0" w:line="240" w:lineRule="auto"/>
        <w:ind w:firstLine="482"/>
        <w:jc w:val="center"/>
        <w:rPr>
          <w:rFonts w:hint="default" w:ascii="Times New Roman" w:hAnsi="Times New Roman" w:cs="Times New Roman"/>
          <w:b/>
          <w:color w:val="FF0000"/>
        </w:rPr>
      </w:pPr>
      <w:r>
        <w:rPr>
          <w:rFonts w:hint="default" w:ascii="Times New Roman" w:hAnsi="Times New Roman" w:cs="Times New Roman"/>
          <w:b/>
          <w:bCs/>
          <w:color w:val="000000"/>
        </w:rPr>
        <w:t xml:space="preserve">                                                                                             </w:t>
      </w:r>
      <w:r>
        <w:rPr>
          <w:rFonts w:hint="eastAsia" w:ascii="Times New Roman" w:hAnsi="Times New Roman" w:cs="Times New Roman"/>
          <w:b/>
          <w:bCs/>
          <w:color w:val="000000"/>
          <w:lang w:val="en-US" w:eastAsia="zh-CN"/>
        </w:rPr>
        <w:t>2025</w:t>
      </w:r>
      <w:r>
        <w:rPr>
          <w:rFonts w:hint="default" w:ascii="Times New Roman" w:hAnsi="Times New Roman" w:cs="Times New Roman"/>
          <w:b/>
          <w:bCs/>
          <w:color w:val="000000"/>
        </w:rPr>
        <w:t>年</w:t>
      </w:r>
      <w:r>
        <w:rPr>
          <w:rFonts w:hint="eastAsia" w:ascii="Times New Roman" w:hAnsi="Times New Roman" w:cs="Times New Roman"/>
          <w:b/>
          <w:bCs/>
          <w:color w:val="000000"/>
          <w:lang w:val="en-US" w:eastAsia="zh-CN"/>
        </w:rPr>
        <w:t>8</w:t>
      </w:r>
      <w:r>
        <w:rPr>
          <w:rFonts w:hint="default" w:ascii="Times New Roman" w:hAnsi="Times New Roman" w:cs="Times New Roman"/>
          <w:b/>
          <w:bCs/>
          <w:color w:val="000000"/>
        </w:rPr>
        <w:t>月</w:t>
      </w:r>
      <w:r>
        <w:rPr>
          <w:rFonts w:hint="eastAsia" w:ascii="Times New Roman" w:hAnsi="Times New Roman" w:cs="Times New Roman"/>
          <w:b/>
          <w:bCs/>
          <w:color w:val="000000"/>
          <w:lang w:val="en-US" w:eastAsia="zh-CN"/>
        </w:rPr>
        <w:t>29</w:t>
      </w:r>
      <w:r>
        <w:rPr>
          <w:rFonts w:hint="default" w:ascii="Times New Roman" w:hAnsi="Times New Roman" w:cs="Times New Roman"/>
          <w:b/>
          <w:bCs/>
          <w:color w:val="000000"/>
        </w:rPr>
        <w:t>日</w:t>
      </w:r>
    </w:p>
    <w:tbl>
      <w:tblPr>
        <w:tblStyle w:val="24"/>
        <w:tblW w:w="139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452"/>
        <w:gridCol w:w="5043"/>
        <w:gridCol w:w="2107"/>
        <w:gridCol w:w="1841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6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52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5043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107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841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9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6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组长</w:t>
            </w:r>
          </w:p>
        </w:tc>
        <w:tc>
          <w:tcPr>
            <w:tcW w:w="1452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刘杰建</w:t>
            </w:r>
          </w:p>
        </w:tc>
        <w:tc>
          <w:tcPr>
            <w:tcW w:w="5043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沧州渤海新区南大港产业园区建设交通环保管理中心</w:t>
            </w:r>
          </w:p>
        </w:tc>
        <w:tc>
          <w:tcPr>
            <w:tcW w:w="2107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1841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15230772266</w:t>
            </w:r>
          </w:p>
        </w:tc>
        <w:tc>
          <w:tcPr>
            <w:tcW w:w="2129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6" w:type="dxa"/>
            <w:vMerge w:val="restart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成员</w:t>
            </w:r>
          </w:p>
        </w:tc>
        <w:tc>
          <w:tcPr>
            <w:tcW w:w="1452" w:type="dxa"/>
            <w:vAlign w:val="center"/>
          </w:tcPr>
          <w:p>
            <w:pPr>
              <w:pStyle w:val="55"/>
              <w:spacing w:beforeAutospacing="0" w:afterAutospacing="0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李晓粤</w:t>
            </w:r>
          </w:p>
        </w:tc>
        <w:tc>
          <w:tcPr>
            <w:tcW w:w="5043" w:type="dxa"/>
            <w:vAlign w:val="center"/>
          </w:tcPr>
          <w:p>
            <w:pPr>
              <w:pStyle w:val="55"/>
              <w:spacing w:beforeAutospacing="0" w:afterAutospacing="0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河北水利电力学院</w:t>
            </w:r>
          </w:p>
        </w:tc>
        <w:tc>
          <w:tcPr>
            <w:tcW w:w="2107" w:type="dxa"/>
            <w:vAlign w:val="center"/>
          </w:tcPr>
          <w:p>
            <w:pPr>
              <w:pStyle w:val="55"/>
              <w:spacing w:beforeAutospacing="0" w:afterAutospacing="0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教  授</w:t>
            </w:r>
          </w:p>
        </w:tc>
        <w:tc>
          <w:tcPr>
            <w:tcW w:w="1841" w:type="dxa"/>
            <w:vAlign w:val="center"/>
          </w:tcPr>
          <w:p>
            <w:pPr>
              <w:pStyle w:val="55"/>
              <w:spacing w:beforeAutospacing="0" w:afterAutospacing="0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13315745711</w:t>
            </w:r>
          </w:p>
        </w:tc>
        <w:tc>
          <w:tcPr>
            <w:tcW w:w="2129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6" w:type="dxa"/>
            <w:vMerge w:val="continue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踅  军</w:t>
            </w:r>
          </w:p>
        </w:tc>
        <w:tc>
          <w:tcPr>
            <w:tcW w:w="5043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河北碧之润环保科技有限公司</w:t>
            </w:r>
          </w:p>
        </w:tc>
        <w:tc>
          <w:tcPr>
            <w:tcW w:w="2107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正高工</w:t>
            </w:r>
          </w:p>
        </w:tc>
        <w:tc>
          <w:tcPr>
            <w:tcW w:w="1841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17731786960</w:t>
            </w:r>
          </w:p>
        </w:tc>
        <w:tc>
          <w:tcPr>
            <w:tcW w:w="2129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6" w:type="dxa"/>
            <w:vMerge w:val="continue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张志强</w:t>
            </w:r>
          </w:p>
        </w:tc>
        <w:tc>
          <w:tcPr>
            <w:tcW w:w="5043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河北胜科工贸有限公司</w:t>
            </w:r>
          </w:p>
        </w:tc>
        <w:tc>
          <w:tcPr>
            <w:tcW w:w="2107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高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工</w:t>
            </w:r>
          </w:p>
        </w:tc>
        <w:tc>
          <w:tcPr>
            <w:tcW w:w="1841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13785780166</w:t>
            </w:r>
          </w:p>
        </w:tc>
        <w:tc>
          <w:tcPr>
            <w:tcW w:w="2129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6" w:type="dxa"/>
            <w:vMerge w:val="continue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周常源</w:t>
            </w:r>
          </w:p>
        </w:tc>
        <w:tc>
          <w:tcPr>
            <w:tcW w:w="5043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河北冀辐源环保科技有限公司</w:t>
            </w:r>
          </w:p>
        </w:tc>
        <w:tc>
          <w:tcPr>
            <w:tcW w:w="2107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业务经理</w:t>
            </w:r>
          </w:p>
        </w:tc>
        <w:tc>
          <w:tcPr>
            <w:tcW w:w="1841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17330097661</w:t>
            </w:r>
          </w:p>
        </w:tc>
        <w:tc>
          <w:tcPr>
            <w:tcW w:w="2129" w:type="dxa"/>
            <w:vAlign w:val="center"/>
          </w:tcPr>
          <w:p>
            <w:pPr>
              <w:pStyle w:val="55"/>
              <w:adjustRightInd w:val="0"/>
              <w:snapToGrid w:val="0"/>
              <w:spacing w:beforeAutospacing="0" w:afterAutospacing="0" w:line="240" w:lineRule="auto"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pStyle w:val="55"/>
        <w:widowControl w:val="0"/>
        <w:adjustRightInd w:val="0"/>
        <w:snapToGrid w:val="0"/>
        <w:spacing w:beforeAutospacing="0" w:afterAutospacing="0" w:line="240" w:lineRule="auto"/>
        <w:ind w:firstLine="0" w:firstLineChars="0"/>
        <w:jc w:val="both"/>
        <w:rPr>
          <w:rFonts w:hint="default" w:ascii="Times New Roman" w:hAnsi="Times New Roman" w:cs="Times New Roman"/>
          <w:sz w:val="15"/>
          <w:szCs w:val="15"/>
        </w:rPr>
      </w:pPr>
    </w:p>
    <w:sectPr>
      <w:headerReference r:id="rId11" w:type="default"/>
      <w:footerReference r:id="rId12" w:type="default"/>
      <w:pgSz w:w="16838" w:h="11906" w:orient="landscape"/>
      <w:pgMar w:top="1417" w:right="1440" w:bottom="1417" w:left="1440" w:header="851" w:footer="737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top w:val="thinThickSmallGap" w:color="823B0B" w:sz="24" w:space="1"/>
      </w:pBdr>
      <w:ind w:firstLine="360"/>
      <w:rPr>
        <w:sz w:val="21"/>
        <w:szCs w:val="21"/>
      </w:rPr>
    </w:pPr>
    <w:r>
      <w:rPr>
        <w:rFonts w:ascii="Calibri Light" w:hAnsi="Calibri Light"/>
      </w:rPr>
      <w:t>验收组</w:t>
    </w:r>
    <w:r>
      <w:rPr>
        <w:rFonts w:hint="eastAsia" w:ascii="Calibri Light" w:hAnsi="Calibri Light"/>
      </w:rPr>
      <w:t>：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  <w:jc w:val="center"/>
    </w:pPr>
  </w:p>
  <w:p>
    <w:pPr>
      <w:pStyle w:val="1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pBdr>
        <w:bottom w:val="none" w:color="auto" w:sz="0" w:space="1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DCA12B"/>
    <w:multiLevelType w:val="singleLevel"/>
    <w:tmpl w:val="9DDCA12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MjBiMWY2MDZhNDg1NTY2NTVlYWQzOGFiOTk2MTgifQ=="/>
    <w:docVar w:name="KSO_WPS_MARK_KEY" w:val="9894269f-fede-4848-8d4a-a56e79464aa9"/>
  </w:docVars>
  <w:rsids>
    <w:rsidRoot w:val="009C29D4"/>
    <w:rsid w:val="0073774A"/>
    <w:rsid w:val="007C3BAE"/>
    <w:rsid w:val="009C29D4"/>
    <w:rsid w:val="01AD54AF"/>
    <w:rsid w:val="04685926"/>
    <w:rsid w:val="06A04DBE"/>
    <w:rsid w:val="0C4A0131"/>
    <w:rsid w:val="0D273D57"/>
    <w:rsid w:val="0E82741B"/>
    <w:rsid w:val="0ED60B30"/>
    <w:rsid w:val="0F815B5D"/>
    <w:rsid w:val="0FE52558"/>
    <w:rsid w:val="10103C82"/>
    <w:rsid w:val="116D1B57"/>
    <w:rsid w:val="12E565BF"/>
    <w:rsid w:val="138D2BCA"/>
    <w:rsid w:val="19DC125A"/>
    <w:rsid w:val="1DC57584"/>
    <w:rsid w:val="1E38650F"/>
    <w:rsid w:val="228C1C28"/>
    <w:rsid w:val="24205EDE"/>
    <w:rsid w:val="24554D96"/>
    <w:rsid w:val="25AC2EAF"/>
    <w:rsid w:val="261D2E9C"/>
    <w:rsid w:val="26721725"/>
    <w:rsid w:val="285659E0"/>
    <w:rsid w:val="29AA1E4C"/>
    <w:rsid w:val="29F315B6"/>
    <w:rsid w:val="2CCF038D"/>
    <w:rsid w:val="2FB44594"/>
    <w:rsid w:val="33FC28E4"/>
    <w:rsid w:val="35154427"/>
    <w:rsid w:val="37117413"/>
    <w:rsid w:val="37930DD5"/>
    <w:rsid w:val="38643789"/>
    <w:rsid w:val="3B5A188F"/>
    <w:rsid w:val="3CB53013"/>
    <w:rsid w:val="3F93450D"/>
    <w:rsid w:val="41DB2FFE"/>
    <w:rsid w:val="42E071DA"/>
    <w:rsid w:val="460F771A"/>
    <w:rsid w:val="48812F36"/>
    <w:rsid w:val="498A6704"/>
    <w:rsid w:val="4D281C27"/>
    <w:rsid w:val="50960345"/>
    <w:rsid w:val="516B614C"/>
    <w:rsid w:val="52796B14"/>
    <w:rsid w:val="540C142D"/>
    <w:rsid w:val="56B00A9E"/>
    <w:rsid w:val="5949535A"/>
    <w:rsid w:val="5D2D2508"/>
    <w:rsid w:val="5EFF4FE6"/>
    <w:rsid w:val="65F41924"/>
    <w:rsid w:val="6664516B"/>
    <w:rsid w:val="677D511D"/>
    <w:rsid w:val="679E1171"/>
    <w:rsid w:val="68935DE8"/>
    <w:rsid w:val="6EFD208E"/>
    <w:rsid w:val="6FB0146E"/>
    <w:rsid w:val="707A2FBE"/>
    <w:rsid w:val="72B96232"/>
    <w:rsid w:val="7352461E"/>
    <w:rsid w:val="743A2F70"/>
    <w:rsid w:val="769654A8"/>
    <w:rsid w:val="77761ED9"/>
    <w:rsid w:val="785D07E1"/>
    <w:rsid w:val="79765683"/>
    <w:rsid w:val="7AB04A66"/>
    <w:rsid w:val="7AED35AE"/>
    <w:rsid w:val="7C5613CF"/>
    <w:rsid w:val="7CBA7D5D"/>
    <w:rsid w:val="7DA6155C"/>
    <w:rsid w:val="7DFA30FA"/>
    <w:rsid w:val="7EAF1377"/>
    <w:rsid w:val="7EDE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line="360" w:lineRule="auto"/>
      <w:ind w:firstLine="562" w:firstLineChars="20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4">
    <w:name w:val="heading 1"/>
    <w:basedOn w:val="1"/>
    <w:next w:val="5"/>
    <w:qFormat/>
    <w:uiPriority w:val="0"/>
    <w:pPr>
      <w:keepNext/>
      <w:keepLines/>
      <w:spacing w:after="120" w:line="480" w:lineRule="atLeast"/>
      <w:ind w:firstLine="567"/>
      <w:outlineLvl w:val="0"/>
    </w:pPr>
    <w:rPr>
      <w:b/>
      <w:kern w:val="44"/>
      <w:sz w:val="30"/>
      <w:szCs w:val="20"/>
    </w:rPr>
  </w:style>
  <w:style w:type="paragraph" w:styleId="5">
    <w:name w:val="heading 2"/>
    <w:basedOn w:val="1"/>
    <w:next w:val="6"/>
    <w:link w:val="31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6">
    <w:name w:val="heading 3"/>
    <w:basedOn w:val="1"/>
    <w:next w:val="7"/>
    <w:link w:val="57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7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/>
    </w:pPr>
    <w:rPr>
      <w:rFonts w:ascii="仿宋" w:hAnsi="仿宋" w:eastAsia="仿宋"/>
    </w:rPr>
  </w:style>
  <w:style w:type="paragraph" w:customStyle="1" w:styleId="3">
    <w:name w:val="Body Text Indent1"/>
    <w:basedOn w:val="1"/>
    <w:qFormat/>
    <w:uiPriority w:val="0"/>
    <w:pPr>
      <w:spacing w:after="120" w:afterLines="0"/>
      <w:ind w:left="420" w:leftChars="200"/>
    </w:pPr>
    <w:rPr>
      <w:kern w:val="2"/>
      <w:sz w:val="21"/>
      <w:szCs w:val="24"/>
    </w:rPr>
  </w:style>
  <w:style w:type="paragraph" w:styleId="8">
    <w:name w:val="Normal Indent"/>
    <w:basedOn w:val="1"/>
    <w:next w:val="7"/>
    <w:link w:val="46"/>
    <w:qFormat/>
    <w:uiPriority w:val="0"/>
    <w:pPr>
      <w:ind w:firstLine="420"/>
    </w:pPr>
  </w:style>
  <w:style w:type="paragraph" w:styleId="9">
    <w:name w:val="Document Map"/>
    <w:basedOn w:val="1"/>
    <w:link w:val="32"/>
    <w:qFormat/>
    <w:uiPriority w:val="0"/>
    <w:rPr>
      <w:rFonts w:ascii="宋体"/>
      <w:sz w:val="18"/>
      <w:szCs w:val="18"/>
    </w:rPr>
  </w:style>
  <w:style w:type="paragraph" w:styleId="10">
    <w:name w:val="annotation text"/>
    <w:basedOn w:val="1"/>
    <w:link w:val="48"/>
    <w:qFormat/>
    <w:uiPriority w:val="0"/>
    <w:pPr>
      <w:widowControl w:val="0"/>
      <w:adjustRightInd/>
      <w:snapToGrid/>
    </w:pPr>
    <w:rPr>
      <w:kern w:val="2"/>
      <w:szCs w:val="20"/>
    </w:rPr>
  </w:style>
  <w:style w:type="paragraph" w:styleId="11">
    <w:name w:val="Body Text"/>
    <w:basedOn w:val="1"/>
    <w:link w:val="37"/>
    <w:qFormat/>
    <w:uiPriority w:val="0"/>
    <w:pPr>
      <w:widowControl w:val="0"/>
      <w:adjustRightInd/>
      <w:snapToGrid/>
      <w:jc w:val="both"/>
    </w:pPr>
    <w:rPr>
      <w:kern w:val="2"/>
      <w:sz w:val="32"/>
      <w:szCs w:val="20"/>
    </w:rPr>
  </w:style>
  <w:style w:type="paragraph" w:styleId="12">
    <w:name w:val="Body Text Indent"/>
    <w:basedOn w:val="1"/>
    <w:next w:val="13"/>
    <w:qFormat/>
    <w:uiPriority w:val="0"/>
    <w:pPr>
      <w:ind w:firstLine="630"/>
    </w:pPr>
    <w:rPr>
      <w:rFonts w:ascii="宋体" w:hAnsi="宋体"/>
      <w:color w:val="000000"/>
      <w:kern w:val="1"/>
      <w:sz w:val="32"/>
      <w:szCs w:val="20"/>
    </w:rPr>
  </w:style>
  <w:style w:type="paragraph" w:customStyle="1" w:styleId="13">
    <w:name w:val="正文文字 6"/>
    <w:next w:val="1"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14">
    <w:name w:val="Block Text"/>
    <w:basedOn w:val="1"/>
    <w:qFormat/>
    <w:uiPriority w:val="0"/>
    <w:pPr>
      <w:widowControl w:val="0"/>
      <w:spacing w:line="440" w:lineRule="exact"/>
      <w:ind w:left="402" w:right="108" w:firstLine="450"/>
      <w:jc w:val="both"/>
    </w:pPr>
    <w:rPr>
      <w:rFonts w:ascii="宋体" w:hAnsi="宋体"/>
      <w:kern w:val="2"/>
      <w:szCs w:val="20"/>
    </w:rPr>
  </w:style>
  <w:style w:type="paragraph" w:styleId="15">
    <w:name w:val="toc 8"/>
    <w:basedOn w:val="1"/>
    <w:next w:val="1"/>
    <w:qFormat/>
    <w:uiPriority w:val="0"/>
    <w:pPr>
      <w:ind w:left="2940" w:leftChars="1400"/>
    </w:pPr>
  </w:style>
  <w:style w:type="paragraph" w:styleId="16">
    <w:name w:val="Body Text Indent 2"/>
    <w:basedOn w:val="1"/>
    <w:link w:val="33"/>
    <w:qFormat/>
    <w:uiPriority w:val="0"/>
    <w:pPr>
      <w:spacing w:after="120" w:line="480" w:lineRule="auto"/>
      <w:ind w:left="420" w:leftChars="200"/>
    </w:pPr>
  </w:style>
  <w:style w:type="paragraph" w:styleId="17">
    <w:name w:val="Balloon Text"/>
    <w:basedOn w:val="1"/>
    <w:link w:val="42"/>
    <w:qFormat/>
    <w:uiPriority w:val="0"/>
    <w:rPr>
      <w:sz w:val="18"/>
      <w:szCs w:val="18"/>
    </w:rPr>
  </w:style>
  <w:style w:type="paragraph" w:styleId="18">
    <w:name w:val="footer"/>
    <w:basedOn w:val="1"/>
    <w:link w:val="45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9">
    <w:name w:val="header"/>
    <w:basedOn w:val="1"/>
    <w:link w:val="4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0">
    <w:name w:val="toc 1"/>
    <w:basedOn w:val="1"/>
    <w:next w:val="1"/>
    <w:qFormat/>
    <w:uiPriority w:val="39"/>
  </w:style>
  <w:style w:type="paragraph" w:styleId="21">
    <w:name w:val="Subtitle"/>
    <w:basedOn w:val="1"/>
    <w:next w:val="1"/>
    <w:link w:val="34"/>
    <w:qFormat/>
    <w:uiPriority w:val="0"/>
    <w:pPr>
      <w:widowControl w:val="0"/>
      <w:adjustRightInd/>
      <w:snapToGrid/>
      <w:spacing w:before="240" w:after="60" w:line="312" w:lineRule="auto"/>
      <w:ind w:firstLine="1446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22">
    <w:name w:val="Normal (Web)"/>
    <w:basedOn w:val="1"/>
    <w:next w:val="15"/>
    <w:qFormat/>
    <w:uiPriority w:val="0"/>
    <w:pPr>
      <w:spacing w:before="100" w:beforeAutospacing="1" w:after="100" w:afterAutospacing="1"/>
    </w:pPr>
    <w:rPr>
      <w:rFonts w:ascii="宋体" w:hAnsi="宋体" w:cs="宋体"/>
    </w:rPr>
  </w:style>
  <w:style w:type="paragraph" w:styleId="23">
    <w:name w:val="Body Text First Indent 2"/>
    <w:basedOn w:val="12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color w:val="auto"/>
      <w:kern w:val="2"/>
      <w:sz w:val="21"/>
      <w:szCs w:val="24"/>
    </w:rPr>
  </w:style>
  <w:style w:type="table" w:styleId="25">
    <w:name w:val="Table Grid"/>
    <w:basedOn w:val="2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FollowedHyperlink"/>
    <w:basedOn w:val="26"/>
    <w:qFormat/>
    <w:uiPriority w:val="0"/>
    <w:rPr>
      <w:color w:val="595758"/>
      <w:u w:val="none"/>
    </w:rPr>
  </w:style>
  <w:style w:type="character" w:styleId="28">
    <w:name w:val="Hyperlink"/>
    <w:basedOn w:val="26"/>
    <w:qFormat/>
    <w:uiPriority w:val="0"/>
    <w:rPr>
      <w:color w:val="595758"/>
      <w:u w:val="none"/>
    </w:rPr>
  </w:style>
  <w:style w:type="paragraph" w:customStyle="1" w:styleId="29">
    <w:name w:val="样式 正文文本 + 首行缩进:  2 字符"/>
    <w:basedOn w:val="11"/>
    <w:next w:val="1"/>
    <w:qFormat/>
    <w:uiPriority w:val="99"/>
    <w:pPr>
      <w:spacing w:after="200" w:line="480" w:lineRule="exact"/>
      <w:ind w:firstLine="480"/>
    </w:pPr>
    <w:rPr>
      <w:rFonts w:ascii="宋体" w:hAnsi="宋体"/>
      <w:sz w:val="24"/>
    </w:rPr>
  </w:style>
  <w:style w:type="paragraph" w:customStyle="1" w:styleId="30">
    <w:name w:val="章标题"/>
    <w:next w:val="1"/>
    <w:qFormat/>
    <w:uiPriority w:val="0"/>
    <w:pPr>
      <w:tabs>
        <w:tab w:val="left" w:pos="903"/>
      </w:tabs>
      <w:spacing w:before="50" w:after="50"/>
      <w:ind w:left="903" w:hanging="315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character" w:customStyle="1" w:styleId="31">
    <w:name w:val="标题 2 Char"/>
    <w:basedOn w:val="26"/>
    <w:link w:val="5"/>
    <w:semiHidden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32">
    <w:name w:val="文档结构图 Char"/>
    <w:basedOn w:val="26"/>
    <w:link w:val="9"/>
    <w:qFormat/>
    <w:uiPriority w:val="0"/>
    <w:rPr>
      <w:rFonts w:ascii="宋体" w:hAnsi="Tahoma" w:eastAsia="宋体"/>
      <w:sz w:val="18"/>
      <w:szCs w:val="18"/>
    </w:rPr>
  </w:style>
  <w:style w:type="character" w:customStyle="1" w:styleId="33">
    <w:name w:val="正文文本缩进 2 Char"/>
    <w:basedOn w:val="26"/>
    <w:link w:val="16"/>
    <w:qFormat/>
    <w:uiPriority w:val="0"/>
    <w:rPr>
      <w:rFonts w:ascii="Tahoma" w:hAnsi="Tahoma"/>
      <w:sz w:val="21"/>
      <w:szCs w:val="22"/>
    </w:rPr>
  </w:style>
  <w:style w:type="character" w:customStyle="1" w:styleId="34">
    <w:name w:val="副标题 Char"/>
    <w:basedOn w:val="26"/>
    <w:link w:val="21"/>
    <w:qFormat/>
    <w:uiPriority w:val="0"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35">
    <w:name w:val="正文2 Char Char"/>
    <w:basedOn w:val="26"/>
    <w:link w:val="36"/>
    <w:qFormat/>
    <w:uiPriority w:val="0"/>
    <w:rPr>
      <w:rFonts w:ascii="Calibri" w:hAnsi="Calibri"/>
      <w:spacing w:val="18"/>
      <w:sz w:val="32"/>
      <w:lang w:val="en-US" w:eastAsia="zh-CN" w:bidi="ar-SA"/>
    </w:rPr>
  </w:style>
  <w:style w:type="paragraph" w:customStyle="1" w:styleId="36">
    <w:name w:val="正文2"/>
    <w:link w:val="35"/>
    <w:qFormat/>
    <w:uiPriority w:val="0"/>
    <w:pPr>
      <w:widowControl w:val="0"/>
      <w:suppressAutoHyphens/>
      <w:spacing w:line="520" w:lineRule="atLeast"/>
      <w:ind w:firstLine="680"/>
      <w:jc w:val="both"/>
    </w:pPr>
    <w:rPr>
      <w:rFonts w:ascii="Calibri" w:hAnsi="Calibri" w:eastAsia="宋体" w:cs="Times New Roman"/>
      <w:spacing w:val="18"/>
      <w:sz w:val="32"/>
      <w:lang w:val="en-US" w:eastAsia="zh-CN" w:bidi="ar-SA"/>
    </w:rPr>
  </w:style>
  <w:style w:type="character" w:customStyle="1" w:styleId="37">
    <w:name w:val="正文文本 Char"/>
    <w:basedOn w:val="26"/>
    <w:link w:val="11"/>
    <w:qFormat/>
    <w:uiPriority w:val="0"/>
    <w:rPr>
      <w:rFonts w:ascii="Times New Roman" w:hAnsi="Times New Roman" w:eastAsia="宋体" w:cs="Times New Roman"/>
      <w:kern w:val="2"/>
      <w:sz w:val="32"/>
    </w:rPr>
  </w:style>
  <w:style w:type="character" w:customStyle="1" w:styleId="38">
    <w:name w:val="正文内容 Char"/>
    <w:basedOn w:val="26"/>
    <w:link w:val="39"/>
    <w:qFormat/>
    <w:uiPriority w:val="0"/>
    <w:rPr>
      <w:rFonts w:ascii="宋体"/>
      <w:kern w:val="2"/>
      <w:sz w:val="24"/>
    </w:rPr>
  </w:style>
  <w:style w:type="paragraph" w:customStyle="1" w:styleId="39">
    <w:name w:val="正文内容"/>
    <w:basedOn w:val="1"/>
    <w:link w:val="38"/>
    <w:qFormat/>
    <w:uiPriority w:val="0"/>
    <w:pPr>
      <w:widowControl w:val="0"/>
      <w:adjustRightInd/>
      <w:snapToGrid/>
      <w:ind w:firstLine="200"/>
      <w:jc w:val="both"/>
    </w:pPr>
    <w:rPr>
      <w:rFonts w:ascii="宋体"/>
      <w:kern w:val="2"/>
      <w:szCs w:val="20"/>
    </w:rPr>
  </w:style>
  <w:style w:type="character" w:customStyle="1" w:styleId="40">
    <w:name w:val="样式 正文 行距: 固定值 25 磅 Char"/>
    <w:link w:val="41"/>
    <w:qFormat/>
    <w:uiPriority w:val="0"/>
    <w:rPr>
      <w:rFonts w:cs="宋体"/>
      <w:kern w:val="2"/>
      <w:sz w:val="24"/>
      <w:szCs w:val="30"/>
    </w:rPr>
  </w:style>
  <w:style w:type="paragraph" w:customStyle="1" w:styleId="41">
    <w:name w:val="样式 正文 行距: 固定值 25 磅"/>
    <w:basedOn w:val="1"/>
    <w:link w:val="40"/>
    <w:qFormat/>
    <w:uiPriority w:val="0"/>
    <w:pPr>
      <w:widowControl w:val="0"/>
      <w:snapToGrid/>
      <w:spacing w:line="500" w:lineRule="exact"/>
      <w:ind w:firstLine="200"/>
    </w:pPr>
    <w:rPr>
      <w:kern w:val="2"/>
      <w:szCs w:val="30"/>
    </w:rPr>
  </w:style>
  <w:style w:type="character" w:customStyle="1" w:styleId="42">
    <w:name w:val="批注框文本 Char"/>
    <w:basedOn w:val="26"/>
    <w:link w:val="17"/>
    <w:qFormat/>
    <w:uiPriority w:val="0"/>
    <w:rPr>
      <w:rFonts w:ascii="Tahoma" w:hAnsi="Tahoma" w:cs="Times New Roman"/>
      <w:sz w:val="18"/>
      <w:szCs w:val="18"/>
    </w:rPr>
  </w:style>
  <w:style w:type="character" w:customStyle="1" w:styleId="43">
    <w:name w:val="A-z正文 Char"/>
    <w:link w:val="44"/>
    <w:qFormat/>
    <w:uiPriority w:val="0"/>
    <w:rPr>
      <w:rFonts w:ascii="Times New Roman" w:hAnsi="Times New Roman" w:eastAsia="宋体" w:cs="宋体"/>
      <w:kern w:val="2"/>
      <w:sz w:val="24"/>
    </w:rPr>
  </w:style>
  <w:style w:type="paragraph" w:customStyle="1" w:styleId="44">
    <w:name w:val="A-z正文"/>
    <w:basedOn w:val="1"/>
    <w:link w:val="43"/>
    <w:qFormat/>
    <w:uiPriority w:val="0"/>
    <w:pPr>
      <w:widowControl w:val="0"/>
      <w:adjustRightInd/>
      <w:snapToGrid/>
      <w:ind w:firstLine="200"/>
      <w:jc w:val="both"/>
    </w:pPr>
    <w:rPr>
      <w:kern w:val="2"/>
      <w:szCs w:val="20"/>
    </w:rPr>
  </w:style>
  <w:style w:type="character" w:customStyle="1" w:styleId="45">
    <w:name w:val="页脚 Char"/>
    <w:basedOn w:val="26"/>
    <w:link w:val="18"/>
    <w:qFormat/>
    <w:uiPriority w:val="99"/>
    <w:rPr>
      <w:rFonts w:ascii="Tahoma" w:hAnsi="Tahoma" w:eastAsia="宋体"/>
      <w:sz w:val="18"/>
      <w:szCs w:val="18"/>
    </w:rPr>
  </w:style>
  <w:style w:type="character" w:customStyle="1" w:styleId="46">
    <w:name w:val="正文缩进 Char"/>
    <w:basedOn w:val="26"/>
    <w:link w:val="8"/>
    <w:qFormat/>
    <w:uiPriority w:val="99"/>
    <w:rPr>
      <w:rFonts w:ascii="Tahoma" w:hAnsi="Tahoma"/>
      <w:sz w:val="21"/>
      <w:szCs w:val="22"/>
    </w:rPr>
  </w:style>
  <w:style w:type="character" w:customStyle="1" w:styleId="47">
    <w:name w:val="正文文本缩进 2 Char1"/>
    <w:basedOn w:val="26"/>
    <w:qFormat/>
    <w:uiPriority w:val="0"/>
    <w:rPr>
      <w:kern w:val="2"/>
      <w:sz w:val="21"/>
      <w:szCs w:val="24"/>
    </w:rPr>
  </w:style>
  <w:style w:type="character" w:customStyle="1" w:styleId="48">
    <w:name w:val="批注文字 Char"/>
    <w:basedOn w:val="26"/>
    <w:link w:val="10"/>
    <w:qFormat/>
    <w:uiPriority w:val="0"/>
    <w:rPr>
      <w:rFonts w:ascii="Times New Roman" w:hAnsi="Times New Roman" w:eastAsia="宋体" w:cs="Times New Roman"/>
      <w:kern w:val="2"/>
      <w:sz w:val="21"/>
    </w:rPr>
  </w:style>
  <w:style w:type="character" w:customStyle="1" w:styleId="49">
    <w:name w:val="页眉 Char"/>
    <w:basedOn w:val="26"/>
    <w:link w:val="19"/>
    <w:qFormat/>
    <w:uiPriority w:val="0"/>
    <w:rPr>
      <w:rFonts w:ascii="Tahoma" w:hAnsi="Tahoma" w:eastAsia="宋体"/>
      <w:sz w:val="18"/>
      <w:szCs w:val="18"/>
    </w:rPr>
  </w:style>
  <w:style w:type="paragraph" w:customStyle="1" w:styleId="50">
    <w:name w:val="普通(网站)11"/>
    <w:basedOn w:val="1"/>
    <w:qFormat/>
    <w:uiPriority w:val="0"/>
    <w:pPr>
      <w:adjustRightInd/>
      <w:snapToGrid/>
      <w:spacing w:beforeAutospacing="1" w:afterAutospacing="1"/>
    </w:pPr>
    <w:rPr>
      <w:rFonts w:ascii="宋体" w:hAnsi="宋体" w:cs="宋体"/>
    </w:rPr>
  </w:style>
  <w:style w:type="paragraph" w:customStyle="1" w:styleId="51">
    <w:name w:val="列出段落1"/>
    <w:basedOn w:val="1"/>
    <w:qFormat/>
    <w:uiPriority w:val="34"/>
    <w:pPr>
      <w:ind w:firstLine="420"/>
    </w:pPr>
  </w:style>
  <w:style w:type="paragraph" w:customStyle="1" w:styleId="52">
    <w:name w:val="表格1"/>
    <w:basedOn w:val="1"/>
    <w:next w:val="1"/>
    <w:qFormat/>
    <w:uiPriority w:val="0"/>
    <w:pPr>
      <w:widowControl w:val="0"/>
      <w:spacing w:line="340" w:lineRule="exact"/>
      <w:jc w:val="center"/>
    </w:pPr>
    <w:rPr>
      <w:rFonts w:ascii="Calibri" w:hAnsi="Calibri"/>
      <w:kern w:val="2"/>
    </w:rPr>
  </w:style>
  <w:style w:type="paragraph" w:customStyle="1" w:styleId="5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54">
    <w:name w:val="环评1"/>
    <w:basedOn w:val="4"/>
    <w:qFormat/>
    <w:uiPriority w:val="0"/>
    <w:pPr>
      <w:keepLines w:val="0"/>
      <w:widowControl w:val="0"/>
      <w:adjustRightInd/>
      <w:snapToGrid/>
      <w:spacing w:beforeLines="100" w:after="0" w:line="360" w:lineRule="auto"/>
      <w:ind w:firstLine="0"/>
      <w:jc w:val="both"/>
    </w:pPr>
    <w:rPr>
      <w:bCs/>
      <w:szCs w:val="30"/>
    </w:rPr>
  </w:style>
  <w:style w:type="paragraph" w:customStyle="1" w:styleId="55">
    <w:name w:val="普通(网站)1"/>
    <w:basedOn w:val="1"/>
    <w:qFormat/>
    <w:uiPriority w:val="0"/>
    <w:pPr>
      <w:adjustRightInd/>
      <w:snapToGrid/>
      <w:spacing w:beforeAutospacing="1" w:afterAutospacing="1"/>
    </w:pPr>
    <w:rPr>
      <w:rFonts w:ascii="宋体" w:hAnsi="宋体" w:cs="宋体"/>
    </w:rPr>
  </w:style>
  <w:style w:type="paragraph" w:customStyle="1" w:styleId="56">
    <w:name w:val="列出段落11"/>
    <w:basedOn w:val="1"/>
    <w:qFormat/>
    <w:uiPriority w:val="34"/>
    <w:pPr>
      <w:widowControl w:val="0"/>
      <w:adjustRightInd/>
      <w:snapToGrid/>
      <w:ind w:firstLine="420" w:firstLineChars="0"/>
      <w:jc w:val="both"/>
    </w:pPr>
    <w:rPr>
      <w:rFonts w:eastAsiaTheme="minorEastAsia" w:cstheme="minorBidi"/>
      <w:kern w:val="2"/>
    </w:rPr>
  </w:style>
  <w:style w:type="character" w:customStyle="1" w:styleId="57">
    <w:name w:val="标题 3 Char"/>
    <w:basedOn w:val="26"/>
    <w:link w:val="6"/>
    <w:semiHidden/>
    <w:qFormat/>
    <w:uiPriority w:val="0"/>
    <w:rPr>
      <w:b/>
      <w:bCs/>
      <w:sz w:val="32"/>
      <w:szCs w:val="32"/>
    </w:rPr>
  </w:style>
  <w:style w:type="paragraph" w:customStyle="1" w:styleId="58">
    <w:name w:val="中文报告书样式"/>
    <w:basedOn w:val="1"/>
    <w:qFormat/>
    <w:uiPriority w:val="0"/>
    <w:pPr>
      <w:spacing w:line="480" w:lineRule="atLeast"/>
      <w:ind w:firstLine="482"/>
    </w:pPr>
    <w:rPr>
      <w:kern w:val="24"/>
    </w:rPr>
  </w:style>
  <w:style w:type="paragraph" w:customStyle="1" w:styleId="59">
    <w:name w:val="表格正文"/>
    <w:basedOn w:val="1"/>
    <w:next w:val="60"/>
    <w:qFormat/>
    <w:uiPriority w:val="0"/>
    <w:pPr>
      <w:spacing w:line="360" w:lineRule="exact"/>
      <w:jc w:val="center"/>
    </w:pPr>
  </w:style>
  <w:style w:type="paragraph" w:customStyle="1" w:styleId="60">
    <w:name w:val="正"/>
    <w:basedOn w:val="1"/>
    <w:qFormat/>
    <w:uiPriority w:val="0"/>
    <w:pPr>
      <w:ind w:firstLine="200"/>
    </w:pPr>
  </w:style>
  <w:style w:type="paragraph" w:customStyle="1" w:styleId="61">
    <w:name w:val="Table Paragraph"/>
    <w:basedOn w:val="1"/>
    <w:qFormat/>
    <w:uiPriority w:val="0"/>
    <w:pPr>
      <w:autoSpaceDE w:val="0"/>
      <w:autoSpaceDN w:val="0"/>
      <w:spacing w:line="240" w:lineRule="auto"/>
      <w:jc w:val="center"/>
    </w:pPr>
    <w:rPr>
      <w:rFonts w:eastAsia="Times New Roman"/>
      <w:sz w:val="22"/>
      <w:szCs w:val="22"/>
      <w:lang w:val="zh-CN" w:bidi="zh-CN"/>
    </w:rPr>
  </w:style>
  <w:style w:type="paragraph" w:customStyle="1" w:styleId="62">
    <w:name w:val="yxl正文"/>
    <w:basedOn w:val="1"/>
    <w:qFormat/>
    <w:uiPriority w:val="0"/>
    <w:pPr>
      <w:spacing w:line="520" w:lineRule="exact"/>
      <w:ind w:firstLine="200"/>
    </w:pPr>
  </w:style>
  <w:style w:type="character" w:customStyle="1" w:styleId="63">
    <w:name w:val="checkbox2"/>
    <w:basedOn w:val="26"/>
    <w:qFormat/>
    <w:uiPriority w:val="0"/>
  </w:style>
  <w:style w:type="table" w:customStyle="1" w:styleId="6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2383</Words>
  <Characters>2910</Characters>
  <Lines>35</Lines>
  <Paragraphs>10</Paragraphs>
  <TotalTime>1</TotalTime>
  <ScaleCrop>false</ScaleCrop>
  <LinksUpToDate>false</LinksUpToDate>
  <CharactersWithSpaces>3009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2019-11-24T11:47:00Z</dcterms:created>
  <dc:creator>Administrator</dc:creator>
  <cp:lastModifiedBy>想念</cp:lastModifiedBy>
  <cp:lastPrinted>2025-09-29T01:34:02Z</cp:lastPrinted>
  <dcterms:modified xsi:type="dcterms:W3CDTF">2025-09-29T01:34:07Z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A04064CF1BB14DF8B5E3255E338ADF7D_13</vt:lpwstr>
  </property>
</Properties>
</file>