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88F1C">
      <w:pPr>
        <w:jc w:val="center"/>
        <w:rPr>
          <w:rFonts w:ascii="宋体" w:hAnsi="宋体" w:eastAsia="宋体" w:cs="宋体"/>
          <w:b/>
          <w:bCs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</w:rPr>
        <w:t>东光县铭都环境工程有限公司</w:t>
      </w:r>
    </w:p>
    <w:p w14:paraId="3C137AC0"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清洁生产审核信息公示</w:t>
      </w:r>
    </w:p>
    <w:p w14:paraId="3BC96624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1 总则</w:t>
      </w:r>
    </w:p>
    <w:p w14:paraId="1B1C1A6E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为自觉履行保护环境的义务，主动接受社会监督，按照国家相关法律法规以及标准要求，结合我公司实际生产情况，制定环境信息公示内容。</w:t>
      </w:r>
    </w:p>
    <w:p w14:paraId="0E6B027D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 依据</w:t>
      </w:r>
    </w:p>
    <w:p w14:paraId="50E8B9AB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《清洁生产审核办法》（国家发展和改革委员会、国家环境保护部令第38号）</w:t>
      </w:r>
    </w:p>
    <w:p w14:paraId="5A8C2D75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《中华人民共和国清洁生产促进法》（2012年）</w:t>
      </w:r>
    </w:p>
    <w:p w14:paraId="762A8126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《关于开展2025年全省清洁生产审核工作的通知 》</w:t>
      </w:r>
    </w:p>
    <w:p w14:paraId="6CA69552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《沧州市生态环境局关于开展2025年沧州市清洁生产审核工作的通知》</w:t>
      </w:r>
    </w:p>
    <w:p w14:paraId="0F254C4D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《河北省强制性清洁生产审核事项告知书》</w:t>
      </w:r>
    </w:p>
    <w:p w14:paraId="776BCD58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3 环境信息公开内容</w:t>
      </w:r>
    </w:p>
    <w:p w14:paraId="31AC2949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3.1 基础信息</w:t>
      </w:r>
    </w:p>
    <w:p w14:paraId="5F69CF96">
      <w:pPr>
        <w:jc w:val="center"/>
      </w:pPr>
      <w:r>
        <w:rPr>
          <w:rFonts w:hint="eastAsia"/>
          <w:sz w:val="24"/>
        </w:rPr>
        <w:t>表3-1 企业基础信息表</w:t>
      </w:r>
    </w:p>
    <w:tbl>
      <w:tblPr>
        <w:tblStyle w:val="3"/>
        <w:tblW w:w="86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4"/>
        <w:gridCol w:w="1921"/>
        <w:gridCol w:w="1843"/>
        <w:gridCol w:w="2362"/>
      </w:tblGrid>
      <w:tr w14:paraId="7B3097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4FF472A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企业名称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31CEB34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东光县铭都环境工程有限公司</w:t>
            </w:r>
          </w:p>
        </w:tc>
      </w:tr>
      <w:tr w14:paraId="7C2A38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6B1DE193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企业地址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33D0AEE3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河北省沧州市东光县致远大街188号</w:t>
            </w:r>
          </w:p>
        </w:tc>
      </w:tr>
      <w:tr w14:paraId="494734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00F6A82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企业类型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942AD88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有限责任公司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44090E6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所属行业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2383D173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污水处理及其再生利用</w:t>
            </w:r>
          </w:p>
        </w:tc>
      </w:tr>
      <w:tr w14:paraId="24892D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1AC03170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企业法人代表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12DB96F4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郑培文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793E4FD9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联系人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58F8B73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 xml:space="preserve">石峰 </w:t>
            </w:r>
          </w:p>
        </w:tc>
      </w:tr>
      <w:tr w14:paraId="28306E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70FE93C2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联系电话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3B0EB66F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13784708052 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/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13582767345</w:t>
            </w:r>
          </w:p>
        </w:tc>
      </w:tr>
      <w:tr w14:paraId="61865F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1458C8F5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生产能力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</w:tcPr>
          <w:p w14:paraId="381D662B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日处理3万吨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污水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1AF7A281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CN"/>
              </w:rPr>
              <w:t>2024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实际生产量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525EC01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日均处理24474吨</w:t>
            </w:r>
          </w:p>
        </w:tc>
      </w:tr>
      <w:tr w14:paraId="4AA2D7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1F3A558F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20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TW"/>
              </w:rPr>
              <w:t>24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年实际职工总数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18E8866D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28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6AC8C1C7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管理人员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2D3D795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default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21</w:t>
            </w:r>
          </w:p>
        </w:tc>
      </w:tr>
      <w:tr w14:paraId="4CCBD5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46B59867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企业固定资产总值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5853D668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500万元</w:t>
            </w:r>
          </w:p>
        </w:tc>
      </w:tr>
      <w:tr w14:paraId="46CB63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2F52DD78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建厂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CN"/>
              </w:rPr>
              <w:t>日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期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268DD04E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default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2008年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267E3B59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投产日期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49A12314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CN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zh-TW" w:eastAsia="zh-TW"/>
              </w:rPr>
              <w:t>2008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年</w:t>
            </w:r>
          </w:p>
        </w:tc>
      </w:tr>
    </w:tbl>
    <w:p w14:paraId="682A7F5E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3.2 清洁生产审核开展方式</w:t>
      </w:r>
    </w:p>
    <w:p w14:paraId="7B5BF809">
      <w:pPr>
        <w:jc w:val="center"/>
      </w:pPr>
      <w:r>
        <w:rPr>
          <w:rFonts w:hint="eastAsia"/>
          <w:sz w:val="24"/>
        </w:rPr>
        <w:t>表3-2 清洁生产审核开展方式表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620"/>
        <w:gridCol w:w="2070"/>
        <w:gridCol w:w="3247"/>
      </w:tblGrid>
      <w:tr w14:paraId="59C64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  <w:vAlign w:val="center"/>
          </w:tcPr>
          <w:p w14:paraId="42A8DA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开展审核方式</w:t>
            </w:r>
          </w:p>
        </w:tc>
        <w:tc>
          <w:tcPr>
            <w:tcW w:w="1620" w:type="dxa"/>
            <w:vAlign w:val="center"/>
          </w:tcPr>
          <w:p w14:paraId="7B357F1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委托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 2" w:char="0052"/>
            </w:r>
          </w:p>
        </w:tc>
        <w:tc>
          <w:tcPr>
            <w:tcW w:w="2070" w:type="dxa"/>
            <w:vMerge w:val="restart"/>
            <w:vAlign w:val="center"/>
          </w:tcPr>
          <w:p w14:paraId="065DB5A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咨询机构名称</w:t>
            </w:r>
          </w:p>
        </w:tc>
        <w:tc>
          <w:tcPr>
            <w:tcW w:w="3247" w:type="dxa"/>
            <w:vMerge w:val="restart"/>
            <w:vAlign w:val="center"/>
          </w:tcPr>
          <w:p w14:paraId="5ACA895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沧州市碧蓝环保科技有限公司</w:t>
            </w:r>
          </w:p>
        </w:tc>
      </w:tr>
      <w:tr w14:paraId="19DAD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  <w:vAlign w:val="center"/>
          </w:tcPr>
          <w:p w14:paraId="157ED652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74BCF43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自身</w:t>
            </w:r>
            <w:r>
              <w:rPr>
                <w:rFonts w:ascii="Times New Roman" w:hAnsi="Times New Roman" w:eastAsia="宋体" w:cs="Times New Roman"/>
                <w:szCs w:val="21"/>
              </w:rPr>
              <w:t>□</w:t>
            </w:r>
          </w:p>
        </w:tc>
        <w:tc>
          <w:tcPr>
            <w:tcW w:w="2070" w:type="dxa"/>
            <w:vMerge w:val="continue"/>
            <w:vAlign w:val="center"/>
          </w:tcPr>
          <w:p w14:paraId="36521311">
            <w:pPr>
              <w:jc w:val="center"/>
              <w:rPr>
                <w:szCs w:val="21"/>
              </w:rPr>
            </w:pPr>
          </w:p>
        </w:tc>
        <w:tc>
          <w:tcPr>
            <w:tcW w:w="3247" w:type="dxa"/>
            <w:vMerge w:val="continue"/>
            <w:vAlign w:val="center"/>
          </w:tcPr>
          <w:p w14:paraId="5385E1CF">
            <w:pPr>
              <w:jc w:val="center"/>
              <w:rPr>
                <w:szCs w:val="21"/>
              </w:rPr>
            </w:pPr>
          </w:p>
        </w:tc>
      </w:tr>
    </w:tbl>
    <w:p w14:paraId="45BFC462">
      <w:pPr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231AF8A3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3.3 主要原辅材料使用情况</w:t>
      </w:r>
    </w:p>
    <w:p w14:paraId="08BFC8AD">
      <w:pPr>
        <w:jc w:val="center"/>
        <w:rPr>
          <w:sz w:val="24"/>
        </w:rPr>
      </w:pPr>
      <w:r>
        <w:rPr>
          <w:rFonts w:hint="eastAsia"/>
          <w:sz w:val="24"/>
        </w:rPr>
        <w:t>表3-3 主要原辅材料一览表</w:t>
      </w:r>
    </w:p>
    <w:tbl>
      <w:tblPr>
        <w:tblStyle w:val="3"/>
        <w:tblW w:w="863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3839"/>
        <w:gridCol w:w="2494"/>
      </w:tblGrid>
      <w:tr w14:paraId="59CAAD1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306" w:type="dxa"/>
            <w:vMerge w:val="restart"/>
            <w:tcBorders>
              <w:top w:val="single" w:color="auto" w:sz="12" w:space="0"/>
              <w:left w:val="nil"/>
              <w:right w:val="single" w:color="auto" w:sz="6" w:space="0"/>
            </w:tcBorders>
            <w:vAlign w:val="center"/>
          </w:tcPr>
          <w:p w14:paraId="51DEF8B9">
            <w:pPr>
              <w:jc w:val="center"/>
              <w:rPr>
                <w:rFonts w:ascii="Times New Roman" w:hAnsi="Times New Roman" w:eastAsia="仿宋" w:cs="Times New Roman"/>
                <w:bCs/>
                <w:kern w:val="0"/>
                <w:szCs w:val="21"/>
                <w:highlight w:val="none"/>
                <w:lang w:val="zh-TW"/>
              </w:rPr>
            </w:pPr>
            <w:r>
              <w:rPr>
                <w:rFonts w:ascii="Times New Roman" w:hAnsi="Times New Roman" w:eastAsia="仿宋" w:cs="Times New Roman"/>
                <w:bCs/>
                <w:kern w:val="0"/>
                <w:szCs w:val="21"/>
                <w:highlight w:val="none"/>
                <w:lang w:val="zh-TW"/>
              </w:rPr>
              <w:t>使用部位</w:t>
            </w:r>
          </w:p>
        </w:tc>
        <w:tc>
          <w:tcPr>
            <w:tcW w:w="3839" w:type="dxa"/>
            <w:vMerge w:val="restart"/>
            <w:tcBorders>
              <w:top w:val="single" w:color="auto" w:sz="12" w:space="0"/>
              <w:left w:val="single" w:color="auto" w:sz="6" w:space="0"/>
              <w:right w:val="nil"/>
            </w:tcBorders>
            <w:vAlign w:val="center"/>
          </w:tcPr>
          <w:p w14:paraId="6BF68A27">
            <w:pPr>
              <w:jc w:val="center"/>
              <w:rPr>
                <w:rFonts w:ascii="Times New Roman" w:hAnsi="Times New Roman" w:eastAsia="仿宋" w:cs="Times New Roman"/>
                <w:bCs/>
                <w:kern w:val="0"/>
                <w:szCs w:val="21"/>
                <w:highlight w:val="none"/>
                <w:lang w:val="zh-TW"/>
              </w:rPr>
            </w:pPr>
            <w:r>
              <w:rPr>
                <w:rFonts w:ascii="Times New Roman" w:hAnsi="Times New Roman" w:eastAsia="仿宋" w:cs="Times New Roman"/>
                <w:bCs/>
                <w:kern w:val="0"/>
                <w:szCs w:val="21"/>
                <w:highlight w:val="none"/>
                <w:lang w:val="zh-TW" w:eastAsia="zh-TW"/>
              </w:rPr>
              <w:t>原料名称</w:t>
            </w:r>
          </w:p>
        </w:tc>
        <w:tc>
          <w:tcPr>
            <w:tcW w:w="249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3978C31A">
            <w:pPr>
              <w:jc w:val="center"/>
              <w:rPr>
                <w:rFonts w:ascii="Times New Roman" w:hAnsi="Times New Roman" w:eastAsia="仿宋" w:cs="Times New Roman"/>
                <w:bCs/>
                <w:kern w:val="0"/>
                <w:szCs w:val="21"/>
                <w:highlight w:val="none"/>
                <w:lang w:val="zh-TW"/>
              </w:rPr>
            </w:pPr>
            <w:r>
              <w:rPr>
                <w:rFonts w:ascii="Times New Roman" w:hAnsi="Times New Roman" w:eastAsia="仿宋" w:cs="Times New Roman"/>
                <w:bCs/>
                <w:kern w:val="0"/>
                <w:szCs w:val="21"/>
                <w:highlight w:val="none"/>
                <w:lang w:val="zh-TW"/>
              </w:rPr>
              <w:t>年度总</w:t>
            </w:r>
            <w:r>
              <w:rPr>
                <w:rFonts w:ascii="Times New Roman" w:hAnsi="Times New Roman" w:eastAsia="仿宋" w:cs="Times New Roman"/>
                <w:bCs/>
                <w:kern w:val="0"/>
                <w:szCs w:val="21"/>
                <w:highlight w:val="none"/>
                <w:lang w:val="zh-TW" w:eastAsia="zh-TW"/>
              </w:rPr>
              <w:t>用量</w:t>
            </w:r>
            <w:r>
              <w:rPr>
                <w:rFonts w:hint="eastAsia" w:ascii="Times New Roman" w:hAnsi="Times New Roman" w:eastAsia="仿宋" w:cs="Times New Roman"/>
                <w:bCs/>
                <w:kern w:val="0"/>
                <w:szCs w:val="21"/>
                <w:highlight w:val="none"/>
                <w:lang w:val="zh-TW"/>
              </w:rPr>
              <w:t>（</w:t>
            </w:r>
            <w:r>
              <w:rPr>
                <w:rFonts w:hint="eastAsia" w:ascii="Times New Roman" w:hAnsi="Times New Roman" w:eastAsia="仿宋" w:cs="Times New Roman"/>
                <w:bCs/>
                <w:kern w:val="0"/>
                <w:szCs w:val="21"/>
                <w:highlight w:val="none"/>
              </w:rPr>
              <w:t>吨</w:t>
            </w:r>
            <w:r>
              <w:rPr>
                <w:rFonts w:hint="eastAsia" w:ascii="Times New Roman" w:hAnsi="Times New Roman" w:eastAsia="仿宋" w:cs="Times New Roman"/>
                <w:bCs/>
                <w:kern w:val="0"/>
                <w:szCs w:val="21"/>
                <w:highlight w:val="none"/>
                <w:lang w:val="zh-TW"/>
              </w:rPr>
              <w:t>）</w:t>
            </w:r>
          </w:p>
        </w:tc>
      </w:tr>
      <w:tr w14:paraId="4D56A5C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5F1F5ACD">
            <w:pPr>
              <w:jc w:val="center"/>
              <w:rPr>
                <w:rFonts w:ascii="Times New Roman" w:hAnsi="Times New Roman" w:eastAsia="仿宋" w:cs="Times New Roman"/>
                <w:bCs/>
                <w:kern w:val="0"/>
                <w:szCs w:val="21"/>
                <w:highlight w:val="none"/>
                <w:lang w:val="zh-TW" w:eastAsia="zh-TW"/>
              </w:rPr>
            </w:pPr>
          </w:p>
        </w:tc>
        <w:tc>
          <w:tcPr>
            <w:tcW w:w="3839" w:type="dxa"/>
            <w:vMerge w:val="continue"/>
            <w:tcBorders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083E7ADE">
            <w:pPr>
              <w:jc w:val="center"/>
              <w:rPr>
                <w:rFonts w:ascii="Times New Roman" w:hAnsi="Times New Roman" w:eastAsia="仿宋" w:cs="Times New Roman"/>
                <w:bCs/>
                <w:kern w:val="0"/>
                <w:szCs w:val="21"/>
                <w:highlight w:val="none"/>
                <w:lang w:val="zh-TW" w:eastAsia="zh-TW"/>
              </w:rPr>
            </w:pP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723504DC">
            <w:pPr>
              <w:jc w:val="center"/>
              <w:rPr>
                <w:rFonts w:ascii="Times New Roman" w:hAnsi="Times New Roman" w:eastAsia="仿宋" w:cs="Times New Roman"/>
                <w:bCs/>
                <w:kern w:val="0"/>
                <w:szCs w:val="21"/>
                <w:highlight w:val="none"/>
                <w:lang w:val="zh-TW"/>
              </w:rPr>
            </w:pPr>
            <w:r>
              <w:rPr>
                <w:rFonts w:hint="eastAsia" w:ascii="Times New Roman" w:hAnsi="Times New Roman" w:eastAsia="仿宋" w:cs="Times New Roman"/>
                <w:bCs/>
                <w:kern w:val="0"/>
                <w:szCs w:val="21"/>
                <w:highlight w:val="none"/>
                <w:lang w:val="zh-TW"/>
              </w:rPr>
              <w:t>2024</w:t>
            </w:r>
            <w:r>
              <w:rPr>
                <w:rFonts w:ascii="Times New Roman" w:hAnsi="Times New Roman" w:eastAsia="仿宋" w:cs="Times New Roman"/>
                <w:bCs/>
                <w:kern w:val="0"/>
                <w:szCs w:val="21"/>
                <w:highlight w:val="none"/>
                <w:lang w:val="zh-TW"/>
              </w:rPr>
              <w:t>年</w:t>
            </w:r>
          </w:p>
        </w:tc>
      </w:tr>
      <w:tr w14:paraId="08A4704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 w14:paraId="006527C4">
            <w:pPr>
              <w:jc w:val="center"/>
              <w:rPr>
                <w:rFonts w:ascii="Times New Roman" w:hAnsi="Times New Roman" w:eastAsia="仿宋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Cs/>
                <w:kern w:val="0"/>
                <w:szCs w:val="21"/>
                <w:highlight w:val="none"/>
              </w:rPr>
              <w:t>兼氧池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83E63F6">
            <w:pPr>
              <w:jc w:val="center"/>
              <w:rPr>
                <w:rFonts w:ascii="Times New Roman" w:hAnsi="Times New Roman" w:eastAsia="仿宋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Cs/>
                <w:kern w:val="0"/>
                <w:szCs w:val="21"/>
                <w:highlight w:val="none"/>
              </w:rPr>
              <w:t>碳源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7B2B72B5">
            <w:pPr>
              <w:jc w:val="center"/>
              <w:rPr>
                <w:rFonts w:ascii="Times New Roman" w:hAnsi="Times New Roman" w:eastAsia="仿宋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Cs/>
                <w:kern w:val="0"/>
                <w:szCs w:val="21"/>
                <w:highlight w:val="none"/>
              </w:rPr>
              <w:t>571.53</w:t>
            </w:r>
          </w:p>
        </w:tc>
      </w:tr>
      <w:tr w14:paraId="76EC4BD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4A7CEBC6">
            <w:pPr>
              <w:jc w:val="center"/>
              <w:rPr>
                <w:rFonts w:ascii="Times New Roman" w:hAnsi="Times New Roman" w:eastAsia="仿宋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Cs/>
                <w:kern w:val="0"/>
                <w:szCs w:val="21"/>
                <w:highlight w:val="none"/>
              </w:rPr>
              <w:t>高密度沉淀池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2BBCF66">
            <w:pPr>
              <w:jc w:val="center"/>
              <w:rPr>
                <w:rFonts w:ascii="Times New Roman" w:hAnsi="Times New Roman" w:eastAsia="仿宋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Cs/>
                <w:kern w:val="0"/>
                <w:szCs w:val="21"/>
                <w:highlight w:val="none"/>
              </w:rPr>
              <w:t>聚合氯化铝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67993724">
            <w:pPr>
              <w:jc w:val="center"/>
              <w:rPr>
                <w:rFonts w:ascii="Times New Roman" w:hAnsi="Times New Roman" w:eastAsia="仿宋" w:cs="Times New Roman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Cs/>
                <w:kern w:val="0"/>
                <w:szCs w:val="21"/>
                <w:highlight w:val="none"/>
              </w:rPr>
              <w:t>36.35</w:t>
            </w:r>
          </w:p>
        </w:tc>
      </w:tr>
      <w:tr w14:paraId="4540C68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065718EB">
            <w:pPr>
              <w:jc w:val="center"/>
              <w:rPr>
                <w:rFonts w:ascii="Times New Roman" w:hAnsi="Times New Roman" w:eastAsia="仿宋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964FB53">
            <w:pPr>
              <w:jc w:val="center"/>
              <w:rPr>
                <w:rFonts w:ascii="Times New Roman" w:hAnsi="Times New Roman" w:eastAsia="仿宋" w:cs="Times New Roman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4D606826">
            <w:pPr>
              <w:jc w:val="center"/>
              <w:rPr>
                <w:rFonts w:ascii="Times New Roman" w:hAnsi="Times New Roman" w:eastAsia="仿宋" w:cs="Times New Roman"/>
                <w:bCs/>
                <w:kern w:val="0"/>
                <w:szCs w:val="21"/>
                <w:highlight w:val="none"/>
              </w:rPr>
            </w:pPr>
          </w:p>
        </w:tc>
      </w:tr>
    </w:tbl>
    <w:p w14:paraId="6A51C247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3.4 污染物排放情况</w:t>
      </w:r>
    </w:p>
    <w:p w14:paraId="3ACC73DE">
      <w:pPr>
        <w:jc w:val="center"/>
        <w:rPr>
          <w:sz w:val="24"/>
        </w:rPr>
      </w:pPr>
      <w:r>
        <w:rPr>
          <w:rFonts w:hint="eastAsia"/>
          <w:sz w:val="24"/>
        </w:rPr>
        <w:t>表3-4 污染物排放明细表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2066"/>
        <w:gridCol w:w="2247"/>
        <w:gridCol w:w="2076"/>
      </w:tblGrid>
      <w:tr w14:paraId="59712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251968CC">
            <w:pPr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污染物名称</w:t>
            </w:r>
          </w:p>
        </w:tc>
        <w:tc>
          <w:tcPr>
            <w:tcW w:w="2066" w:type="dxa"/>
            <w:vAlign w:val="center"/>
          </w:tcPr>
          <w:p w14:paraId="1A3A2C14">
            <w:pPr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排放标准浓度限值（日均值）</w:t>
            </w:r>
          </w:p>
        </w:tc>
        <w:tc>
          <w:tcPr>
            <w:tcW w:w="2247" w:type="dxa"/>
            <w:vAlign w:val="center"/>
          </w:tcPr>
          <w:p w14:paraId="60CCCD80">
            <w:pPr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污染物允许排放量（t/a）</w:t>
            </w:r>
          </w:p>
        </w:tc>
        <w:tc>
          <w:tcPr>
            <w:tcW w:w="2076" w:type="dxa"/>
            <w:vAlign w:val="center"/>
          </w:tcPr>
          <w:p w14:paraId="3B21312C">
            <w:pPr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2024年度排放量（t）</w:t>
            </w:r>
          </w:p>
        </w:tc>
      </w:tr>
      <w:tr w14:paraId="07CFE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45D25D98">
            <w:pPr>
              <w:pStyle w:val="6"/>
              <w:jc w:val="center"/>
              <w:rPr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COD</w:t>
            </w:r>
          </w:p>
        </w:tc>
        <w:tc>
          <w:tcPr>
            <w:tcW w:w="2066" w:type="dxa"/>
            <w:vAlign w:val="center"/>
          </w:tcPr>
          <w:p w14:paraId="4C4FF7B7">
            <w:pPr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50mg/L</w:t>
            </w:r>
          </w:p>
        </w:tc>
        <w:tc>
          <w:tcPr>
            <w:tcW w:w="2247" w:type="dxa"/>
            <w:vAlign w:val="center"/>
          </w:tcPr>
          <w:p w14:paraId="7E7EF943">
            <w:pPr>
              <w:pStyle w:val="6"/>
              <w:jc w:val="center"/>
              <w:rPr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182.5</w:t>
            </w:r>
          </w:p>
        </w:tc>
        <w:tc>
          <w:tcPr>
            <w:tcW w:w="2076" w:type="dxa"/>
            <w:vAlign w:val="center"/>
          </w:tcPr>
          <w:p w14:paraId="3AB76EA1">
            <w:pPr>
              <w:pStyle w:val="7"/>
              <w:jc w:val="center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172.46</w:t>
            </w:r>
          </w:p>
        </w:tc>
      </w:tr>
      <w:tr w14:paraId="39F4A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565C47DF">
            <w:pPr>
              <w:pStyle w:val="6"/>
              <w:jc w:val="center"/>
              <w:rPr>
                <w:rFonts w:ascii="Times New Roman" w:hAnsi="Times New Roman" w:eastAsia="仿宋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</w:rPr>
              <w:t>氨氮</w:t>
            </w:r>
          </w:p>
        </w:tc>
        <w:tc>
          <w:tcPr>
            <w:tcW w:w="2066" w:type="dxa"/>
            <w:vAlign w:val="center"/>
          </w:tcPr>
          <w:p w14:paraId="79D9E6FC">
            <w:pPr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5mg/L</w:t>
            </w:r>
          </w:p>
        </w:tc>
        <w:tc>
          <w:tcPr>
            <w:tcW w:w="2247" w:type="dxa"/>
            <w:vAlign w:val="center"/>
          </w:tcPr>
          <w:p w14:paraId="4642853F">
            <w:pPr>
              <w:pStyle w:val="6"/>
              <w:jc w:val="center"/>
              <w:rPr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18.25</w:t>
            </w:r>
          </w:p>
        </w:tc>
        <w:tc>
          <w:tcPr>
            <w:tcW w:w="2076" w:type="dxa"/>
            <w:vAlign w:val="center"/>
          </w:tcPr>
          <w:p w14:paraId="6361D930">
            <w:pPr>
              <w:pStyle w:val="7"/>
              <w:jc w:val="center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4.26</w:t>
            </w:r>
          </w:p>
        </w:tc>
      </w:tr>
      <w:tr w14:paraId="70B09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79D384BE">
            <w:pPr>
              <w:pStyle w:val="6"/>
              <w:jc w:val="center"/>
              <w:rPr>
                <w:rFonts w:ascii="Times New Roman" w:hAnsi="Times New Roman" w:eastAsia="仿宋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</w:rPr>
              <w:t>总磷</w:t>
            </w:r>
          </w:p>
        </w:tc>
        <w:tc>
          <w:tcPr>
            <w:tcW w:w="2066" w:type="dxa"/>
            <w:vAlign w:val="center"/>
          </w:tcPr>
          <w:p w14:paraId="5096EAB1">
            <w:pPr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0.5mg/L</w:t>
            </w:r>
          </w:p>
        </w:tc>
        <w:tc>
          <w:tcPr>
            <w:tcW w:w="2247" w:type="dxa"/>
            <w:vAlign w:val="center"/>
          </w:tcPr>
          <w:p w14:paraId="10DD32BD">
            <w:pPr>
              <w:pStyle w:val="6"/>
              <w:jc w:val="center"/>
              <w:rPr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2.62</w:t>
            </w:r>
          </w:p>
        </w:tc>
        <w:tc>
          <w:tcPr>
            <w:tcW w:w="2076" w:type="dxa"/>
            <w:vAlign w:val="center"/>
          </w:tcPr>
          <w:p w14:paraId="57DEFE19">
            <w:pPr>
              <w:pStyle w:val="7"/>
              <w:jc w:val="center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1.81</w:t>
            </w:r>
          </w:p>
        </w:tc>
      </w:tr>
      <w:tr w14:paraId="616F4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0A937C37">
            <w:pPr>
              <w:pStyle w:val="6"/>
              <w:jc w:val="center"/>
              <w:rPr>
                <w:rFonts w:ascii="Times New Roman" w:hAnsi="Times New Roman" w:eastAsia="仿宋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highlight w:val="none"/>
              </w:rPr>
              <w:t>总氮</w:t>
            </w:r>
          </w:p>
        </w:tc>
        <w:tc>
          <w:tcPr>
            <w:tcW w:w="2066" w:type="dxa"/>
            <w:vAlign w:val="center"/>
          </w:tcPr>
          <w:p w14:paraId="27CA4670">
            <w:pPr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15mg/L</w:t>
            </w:r>
          </w:p>
        </w:tc>
        <w:tc>
          <w:tcPr>
            <w:tcW w:w="2247" w:type="dxa"/>
            <w:vAlign w:val="center"/>
          </w:tcPr>
          <w:p w14:paraId="76A1B603">
            <w:pPr>
              <w:pStyle w:val="6"/>
              <w:jc w:val="center"/>
              <w:rPr>
                <w:color w:val="FF0000"/>
                <w:szCs w:val="21"/>
                <w:highlight w:val="none"/>
              </w:rPr>
            </w:pPr>
            <w:r>
              <w:rPr>
                <w:rFonts w:hint="eastAsia"/>
                <w:color w:val="FF0000"/>
                <w:szCs w:val="21"/>
                <w:highlight w:val="none"/>
              </w:rPr>
              <w:t>78.602</w:t>
            </w:r>
          </w:p>
        </w:tc>
        <w:tc>
          <w:tcPr>
            <w:tcW w:w="2076" w:type="dxa"/>
            <w:vAlign w:val="center"/>
          </w:tcPr>
          <w:p w14:paraId="0D1FCD4B">
            <w:pPr>
              <w:pStyle w:val="7"/>
              <w:jc w:val="center"/>
              <w:rPr>
                <w:rFonts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color w:val="FF0000"/>
                <w:highlight w:val="none"/>
              </w:rPr>
              <w:t>81.13</w:t>
            </w:r>
          </w:p>
        </w:tc>
      </w:tr>
    </w:tbl>
    <w:p w14:paraId="68F789AE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3.5 企业危险废物产生及处置情况</w:t>
      </w:r>
    </w:p>
    <w:p w14:paraId="3794C50E">
      <w:pPr>
        <w:jc w:val="center"/>
        <w:rPr>
          <w:sz w:val="24"/>
        </w:rPr>
      </w:pPr>
      <w:r>
        <w:rPr>
          <w:rFonts w:hint="eastAsia"/>
          <w:sz w:val="24"/>
        </w:rPr>
        <w:t>表3-5 危险废物产生及处置情况明细表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460"/>
        <w:gridCol w:w="1808"/>
        <w:gridCol w:w="2024"/>
        <w:gridCol w:w="2197"/>
      </w:tblGrid>
      <w:tr w14:paraId="30A43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7" w:type="dxa"/>
            <w:vAlign w:val="center"/>
          </w:tcPr>
          <w:p w14:paraId="1FC2CD51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序号</w:t>
            </w:r>
          </w:p>
        </w:tc>
        <w:tc>
          <w:tcPr>
            <w:tcW w:w="1460" w:type="dxa"/>
            <w:vAlign w:val="center"/>
          </w:tcPr>
          <w:p w14:paraId="214A40ED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名称</w:t>
            </w:r>
          </w:p>
        </w:tc>
        <w:tc>
          <w:tcPr>
            <w:tcW w:w="1808" w:type="dxa"/>
            <w:vAlign w:val="center"/>
          </w:tcPr>
          <w:p w14:paraId="051B3A4F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危险废物类别</w:t>
            </w:r>
          </w:p>
        </w:tc>
        <w:tc>
          <w:tcPr>
            <w:tcW w:w="2024" w:type="dxa"/>
            <w:vAlign w:val="center"/>
          </w:tcPr>
          <w:p w14:paraId="01E74F80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2024年产生量（t/a）</w:t>
            </w:r>
          </w:p>
        </w:tc>
        <w:tc>
          <w:tcPr>
            <w:tcW w:w="2197" w:type="dxa"/>
            <w:vAlign w:val="center"/>
          </w:tcPr>
          <w:p w14:paraId="1A240D73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处置方式</w:t>
            </w:r>
          </w:p>
        </w:tc>
      </w:tr>
      <w:tr w14:paraId="09D34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1E9C8318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</w:p>
        </w:tc>
        <w:tc>
          <w:tcPr>
            <w:tcW w:w="1460" w:type="dxa"/>
            <w:vAlign w:val="center"/>
          </w:tcPr>
          <w:p w14:paraId="3769C4BA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在线废液</w:t>
            </w:r>
          </w:p>
        </w:tc>
        <w:tc>
          <w:tcPr>
            <w:tcW w:w="1808" w:type="dxa"/>
            <w:vAlign w:val="center"/>
          </w:tcPr>
          <w:p w14:paraId="6F2B9525">
            <w:pPr>
              <w:snapToGrid w:val="0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SW07</w:t>
            </w:r>
          </w:p>
        </w:tc>
        <w:tc>
          <w:tcPr>
            <w:tcW w:w="2024" w:type="dxa"/>
            <w:vAlign w:val="center"/>
          </w:tcPr>
          <w:p w14:paraId="035EE7EB">
            <w:pPr>
              <w:snapToGrid w:val="0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1.05696</w:t>
            </w:r>
          </w:p>
        </w:tc>
        <w:tc>
          <w:tcPr>
            <w:tcW w:w="2197" w:type="dxa"/>
            <w:vAlign w:val="center"/>
          </w:tcPr>
          <w:p w14:paraId="6416F066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4EA94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2F6642BD">
            <w:pPr>
              <w:jc w:val="center"/>
              <w:rPr>
                <w:highlight w:val="none"/>
              </w:rPr>
            </w:pPr>
          </w:p>
        </w:tc>
        <w:tc>
          <w:tcPr>
            <w:tcW w:w="1460" w:type="dxa"/>
            <w:vAlign w:val="center"/>
          </w:tcPr>
          <w:p w14:paraId="3E6C9A75">
            <w:pPr>
              <w:jc w:val="center"/>
              <w:rPr>
                <w:highlight w:val="none"/>
              </w:rPr>
            </w:pPr>
          </w:p>
        </w:tc>
        <w:tc>
          <w:tcPr>
            <w:tcW w:w="1808" w:type="dxa"/>
            <w:vAlign w:val="center"/>
          </w:tcPr>
          <w:p w14:paraId="4A044564">
            <w:pPr>
              <w:snapToGrid w:val="0"/>
              <w:jc w:val="center"/>
              <w:rPr>
                <w:highlight w:val="none"/>
              </w:rPr>
            </w:pPr>
          </w:p>
        </w:tc>
        <w:tc>
          <w:tcPr>
            <w:tcW w:w="2024" w:type="dxa"/>
            <w:vAlign w:val="center"/>
          </w:tcPr>
          <w:p w14:paraId="3D7E53FF">
            <w:pPr>
              <w:snapToGrid w:val="0"/>
              <w:jc w:val="center"/>
              <w:rPr>
                <w:highlight w:val="none"/>
              </w:rPr>
            </w:pPr>
          </w:p>
        </w:tc>
        <w:tc>
          <w:tcPr>
            <w:tcW w:w="2197" w:type="dxa"/>
            <w:vAlign w:val="center"/>
          </w:tcPr>
          <w:p w14:paraId="39DDD48C">
            <w:pPr>
              <w:jc w:val="center"/>
              <w:rPr>
                <w:highlight w:val="none"/>
              </w:rPr>
            </w:pPr>
          </w:p>
        </w:tc>
      </w:tr>
    </w:tbl>
    <w:p w14:paraId="63CC0B6A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3.6 企业环境风险防控措施情况</w:t>
      </w:r>
    </w:p>
    <w:p w14:paraId="4ABAC55C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color w:val="000000"/>
          <w:kern w:val="0"/>
          <w:sz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为贯彻落实《中华人民共和国环境保护法》、《中华人民共和国水污染防治法》、《中华人民共和国大气污染防治法》等法律、法规有关规定，建立健</w:t>
      </w:r>
      <w:r>
        <w:rPr>
          <w:rFonts w:hint="eastAsia" w:ascii="宋体" w:hAnsi="宋体" w:eastAsia="宋体" w:cs="宋体"/>
          <w:kern w:val="0"/>
          <w:sz w:val="24"/>
        </w:rPr>
        <w:t>全东光县铭都环境工程有限公司环境安全应急体系，确保公司在发生突发环境事件时，各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项应急工作能够快速启动、高效有序，避免和最大限度地减轻突发环境事件对环境造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成的损失和危害，我公司特制订了适合本公司实际的《</w:t>
      </w:r>
      <w:bookmarkStart w:id="0" w:name="_Toc225244035"/>
      <w:bookmarkStart w:id="1" w:name="_Toc224965852"/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突发环境事件应急预案》。公司已于</w:t>
      </w:r>
      <w:r>
        <w:rPr>
          <w:rFonts w:ascii="宋体" w:hAnsi="宋体" w:eastAsia="宋体" w:cs="宋体"/>
          <w:color w:val="000000"/>
          <w:kern w:val="0"/>
          <w:sz w:val="24"/>
          <w:highlight w:val="none"/>
        </w:rPr>
        <w:t>202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3年12月27日备案，备案编号为130962-2023-0064。</w:t>
      </w:r>
      <w:bookmarkEnd w:id="0"/>
      <w:bookmarkEnd w:id="1"/>
    </w:p>
    <w:p w14:paraId="1AD70912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  <w:color w:val="auto"/>
        </w:rPr>
      </w:pPr>
      <w:r>
        <w:rPr>
          <w:rFonts w:hint="eastAsia"/>
        </w:rPr>
        <w:t>我公司将在202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年开展清洁生产工作，现按照法律法规规定向公众公示我公司</w:t>
      </w:r>
      <w:r>
        <w:rPr>
          <w:rFonts w:hint="eastAsia" w:ascii="Times New Roman'" w:hAnsi="Times New Roman'"/>
        </w:rPr>
        <w:t>企业基本信息、排放污染物名称、排放方式、排放浓度和总量、环境管理情况等情况。</w:t>
      </w:r>
      <w:bookmarkStart w:id="2" w:name="_GoBack"/>
      <w:bookmarkEnd w:id="2"/>
    </w:p>
    <w:p w14:paraId="05E3C213">
      <w:pPr>
        <w:pStyle w:val="6"/>
        <w:snapToGrid w:val="0"/>
        <w:spacing w:line="360" w:lineRule="auto"/>
        <w:jc w:val="right"/>
        <w:rPr>
          <w:rFonts w:ascii="Times New Roman'" w:hAnsi="Times New Roman'"/>
          <w:color w:val="auto"/>
        </w:rPr>
      </w:pPr>
      <w:r>
        <w:rPr>
          <w:rFonts w:hint="eastAsia" w:ascii="宋体" w:hAnsi="宋体" w:eastAsia="宋体" w:cs="宋体"/>
          <w:szCs w:val="21"/>
          <w:highlight w:val="none"/>
        </w:rPr>
        <w:t>东光县铭都环境工程有限公司</w:t>
      </w:r>
    </w:p>
    <w:p w14:paraId="478F1C12">
      <w:pPr>
        <w:pStyle w:val="6"/>
        <w:snapToGrid w:val="0"/>
        <w:spacing w:line="360" w:lineRule="auto"/>
        <w:ind w:firstLine="5280" w:firstLineChars="2200"/>
        <w:jc w:val="right"/>
        <w:rPr>
          <w:rFonts w:ascii="Times New Roman'" w:hAnsi="Times New Roman'"/>
          <w:color w:val="auto"/>
        </w:rPr>
      </w:pPr>
      <w:r>
        <w:rPr>
          <w:rFonts w:hint="eastAsia" w:ascii="Times New Roman'" w:hAnsi="Times New Roman'"/>
          <w:color w:val="auto"/>
        </w:rPr>
        <w:t>2</w:t>
      </w:r>
      <w:r>
        <w:rPr>
          <w:rFonts w:ascii="Times New Roman'" w:hAnsi="Times New Roman'"/>
          <w:color w:val="auto"/>
        </w:rPr>
        <w:t>02</w:t>
      </w:r>
      <w:r>
        <w:rPr>
          <w:rFonts w:hint="eastAsia" w:ascii="Times New Roman'" w:hAnsi="Times New Roman'"/>
          <w:color w:val="auto"/>
        </w:rPr>
        <w:t>5年08月2</w:t>
      </w:r>
      <w:r>
        <w:rPr>
          <w:rFonts w:hint="eastAsia" w:ascii="Times New Roman'" w:hAnsi="Times New Roman'"/>
          <w:color w:val="auto"/>
          <w:lang w:val="en-US" w:eastAsia="zh-CN"/>
        </w:rPr>
        <w:t>2</w:t>
      </w:r>
      <w:r>
        <w:rPr>
          <w:rFonts w:hint="eastAsia" w:ascii="Times New Roman'" w:hAnsi="Times New Roman'"/>
          <w:color w:val="auto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8ADD8C"/>
    <w:multiLevelType w:val="singleLevel"/>
    <w:tmpl w:val="C58ADD8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WQyM2U4MDExNWEyYzdlZjBlOThmOGEzNmRlY2MwN2YifQ=="/>
  </w:docVars>
  <w:rsids>
    <w:rsidRoot w:val="58CC1B7A"/>
    <w:rsid w:val="001001ED"/>
    <w:rsid w:val="00156CBB"/>
    <w:rsid w:val="001F1657"/>
    <w:rsid w:val="001F1E2C"/>
    <w:rsid w:val="00203353"/>
    <w:rsid w:val="00234CD8"/>
    <w:rsid w:val="002353AD"/>
    <w:rsid w:val="00293676"/>
    <w:rsid w:val="002B7694"/>
    <w:rsid w:val="002F7E6D"/>
    <w:rsid w:val="00310DCD"/>
    <w:rsid w:val="00346508"/>
    <w:rsid w:val="0046543D"/>
    <w:rsid w:val="004A461A"/>
    <w:rsid w:val="004C588E"/>
    <w:rsid w:val="005D6E32"/>
    <w:rsid w:val="006B18C0"/>
    <w:rsid w:val="006B38AE"/>
    <w:rsid w:val="006D5736"/>
    <w:rsid w:val="00717F49"/>
    <w:rsid w:val="00853DAD"/>
    <w:rsid w:val="0091133C"/>
    <w:rsid w:val="00A529C6"/>
    <w:rsid w:val="00A84163"/>
    <w:rsid w:val="00AD7849"/>
    <w:rsid w:val="00B32169"/>
    <w:rsid w:val="00B5547F"/>
    <w:rsid w:val="00B7491A"/>
    <w:rsid w:val="00C21B7F"/>
    <w:rsid w:val="00C575C7"/>
    <w:rsid w:val="00C8686D"/>
    <w:rsid w:val="00D058F2"/>
    <w:rsid w:val="00DF696E"/>
    <w:rsid w:val="00E64F7C"/>
    <w:rsid w:val="00F66AAD"/>
    <w:rsid w:val="00F81BCE"/>
    <w:rsid w:val="00FE69E8"/>
    <w:rsid w:val="012811A8"/>
    <w:rsid w:val="01A70D36"/>
    <w:rsid w:val="03354079"/>
    <w:rsid w:val="049E158E"/>
    <w:rsid w:val="04F83540"/>
    <w:rsid w:val="057F73BC"/>
    <w:rsid w:val="080E7AB4"/>
    <w:rsid w:val="08EB04EB"/>
    <w:rsid w:val="0DDA2FA0"/>
    <w:rsid w:val="0E350283"/>
    <w:rsid w:val="111F4506"/>
    <w:rsid w:val="11657F33"/>
    <w:rsid w:val="11CB3D4A"/>
    <w:rsid w:val="127D62EC"/>
    <w:rsid w:val="13371448"/>
    <w:rsid w:val="144C0C67"/>
    <w:rsid w:val="17BB2B81"/>
    <w:rsid w:val="19304E94"/>
    <w:rsid w:val="1A751236"/>
    <w:rsid w:val="1BE60133"/>
    <w:rsid w:val="1CA07CA0"/>
    <w:rsid w:val="1EAF66C4"/>
    <w:rsid w:val="1F042FF2"/>
    <w:rsid w:val="23866AAB"/>
    <w:rsid w:val="23CF6DFA"/>
    <w:rsid w:val="251A6314"/>
    <w:rsid w:val="26236958"/>
    <w:rsid w:val="2ABA5EBC"/>
    <w:rsid w:val="2DF0430D"/>
    <w:rsid w:val="30A2429C"/>
    <w:rsid w:val="31FD51B6"/>
    <w:rsid w:val="32602A81"/>
    <w:rsid w:val="326E6295"/>
    <w:rsid w:val="32BF4103"/>
    <w:rsid w:val="364D47D5"/>
    <w:rsid w:val="380702D5"/>
    <w:rsid w:val="38555E9B"/>
    <w:rsid w:val="3C752F9D"/>
    <w:rsid w:val="3FA748B5"/>
    <w:rsid w:val="40AB75B8"/>
    <w:rsid w:val="4928637F"/>
    <w:rsid w:val="4B5819AE"/>
    <w:rsid w:val="4DB03006"/>
    <w:rsid w:val="4DEE188D"/>
    <w:rsid w:val="4EEE3544"/>
    <w:rsid w:val="515956AA"/>
    <w:rsid w:val="52634283"/>
    <w:rsid w:val="528B2091"/>
    <w:rsid w:val="52946045"/>
    <w:rsid w:val="52F43A37"/>
    <w:rsid w:val="58CC1B7A"/>
    <w:rsid w:val="593816D0"/>
    <w:rsid w:val="5D3B3E49"/>
    <w:rsid w:val="5E4461F9"/>
    <w:rsid w:val="5F8C411B"/>
    <w:rsid w:val="601C4734"/>
    <w:rsid w:val="61197002"/>
    <w:rsid w:val="64537E63"/>
    <w:rsid w:val="689B1051"/>
    <w:rsid w:val="6A9B703B"/>
    <w:rsid w:val="6AEE298B"/>
    <w:rsid w:val="6D4F726A"/>
    <w:rsid w:val="71A5116A"/>
    <w:rsid w:val="75A232F1"/>
    <w:rsid w:val="799C6980"/>
    <w:rsid w:val="7A4633E7"/>
    <w:rsid w:val="7C854BCE"/>
    <w:rsid w:val="7CD4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  <w:spacing w:line="440" w:lineRule="exact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7">
    <w:name w:val="正文文本1"/>
    <w:basedOn w:val="1"/>
    <w:link w:val="9"/>
    <w:qFormat/>
    <w:uiPriority w:val="0"/>
    <w:pPr>
      <w:shd w:val="clear" w:color="auto" w:fill="FFFFFF"/>
      <w:spacing w:line="479" w:lineRule="exact"/>
      <w:ind w:hanging="540"/>
      <w:jc w:val="right"/>
    </w:pPr>
    <w:rPr>
      <w:rFonts w:ascii="MingLiU" w:hAnsi="MingLiU" w:eastAsia="MingLiU"/>
      <w:spacing w:val="20"/>
    </w:rPr>
  </w:style>
  <w:style w:type="character" w:customStyle="1" w:styleId="8">
    <w:name w:val="正文文本 + 10 pt"/>
    <w:basedOn w:val="9"/>
    <w:qFormat/>
    <w:uiPriority w:val="0"/>
    <w:rPr>
      <w:rFonts w:ascii="MingLiU" w:hAnsi="MingLiU" w:eastAsia="MingLiU"/>
      <w:spacing w:val="20"/>
      <w:sz w:val="20"/>
      <w:lang w:val="zh-CN" w:eastAsia="zh-CN"/>
    </w:rPr>
  </w:style>
  <w:style w:type="character" w:customStyle="1" w:styleId="9">
    <w:name w:val="正文文本_"/>
    <w:basedOn w:val="5"/>
    <w:link w:val="7"/>
    <w:qFormat/>
    <w:locked/>
    <w:uiPriority w:val="0"/>
    <w:rPr>
      <w:rFonts w:ascii="MingLiU" w:hAnsi="MingLiU" w:eastAsia="MingLiU"/>
      <w:spacing w:val="20"/>
    </w:rPr>
  </w:style>
  <w:style w:type="character" w:customStyle="1" w:styleId="10">
    <w:name w:val="正文文本 + MS Mincho"/>
    <w:basedOn w:val="9"/>
    <w:qFormat/>
    <w:uiPriority w:val="99"/>
    <w:rPr>
      <w:rFonts w:ascii="MS Mincho" w:hAnsi="MS Mincho" w:eastAsia="MS Mincho"/>
      <w:spacing w:val="0"/>
      <w:sz w:val="23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935</Words>
  <Characters>1122</Characters>
  <Lines>9</Lines>
  <Paragraphs>2</Paragraphs>
  <TotalTime>35</TotalTime>
  <ScaleCrop>false</ScaleCrop>
  <LinksUpToDate>false</LinksUpToDate>
  <CharactersWithSpaces>1139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2022-01-21T10:14:00Z</dcterms:created>
  <dc:creator>徐永伟</dc:creator>
  <cp:lastModifiedBy>想念</cp:lastModifiedBy>
  <dcterms:modified xsi:type="dcterms:W3CDTF">2025-08-28T01:39:56Z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A24C4D1C1DA94BF596DBADE3BE306CD3</vt:lpwstr>
  </property>
  <property fmtid="{D5CDD505-2E9C-101B-9397-08002B2CF9AE}" pid="4" name="KSOTemplateDocerSaveRecord">
    <vt:lpwstr>eyJoZGlkIjoiODI4MWYyYmU1ZmRiYjhkYjA1ZGVhZmQzZDY1ZGRmYTIiLCJ1c2VySWQiOiI0OTY3MDM5MjIifQ==</vt:lpwstr>
  </property>
</Properties>
</file>